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28D9B6E8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3A111DE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Definizione </w:t>
            </w:r>
            <w:r w:rsidR="00D82DA5">
              <w:rPr>
                <w:sz w:val="20"/>
                <w:szCs w:val="20"/>
              </w:rPr>
              <w:t xml:space="preserve">delle </w:t>
            </w:r>
            <w:r>
              <w:rPr>
                <w:sz w:val="20"/>
                <w:szCs w:val="20"/>
              </w:rPr>
              <w:t xml:space="preserve">modalità operative assegnazione </w:t>
            </w:r>
            <w:r w:rsidR="00034AA1" w:rsidRPr="00034AA1">
              <w:rPr>
                <w:sz w:val="20"/>
                <w:szCs w:val="20"/>
              </w:rPr>
              <w:t>volumi massimi di</w:t>
            </w:r>
            <w:r w:rsidR="00034AA1">
              <w:rPr>
                <w:sz w:val="20"/>
                <w:szCs w:val="20"/>
              </w:rPr>
              <w:t xml:space="preserve"> </w:t>
            </w:r>
            <w:r w:rsidR="00034AA1" w:rsidRPr="00034AA1">
              <w:rPr>
                <w:sz w:val="20"/>
                <w:szCs w:val="20"/>
              </w:rPr>
              <w:t>prestazioni e dei correlati limiti di spesa alle strutture sanitarie</w:t>
            </w:r>
            <w:r w:rsidR="00034AA1">
              <w:rPr>
                <w:sz w:val="20"/>
                <w:szCs w:val="20"/>
              </w:rPr>
              <w:t xml:space="preserve"> </w:t>
            </w:r>
            <w:r w:rsidR="00034AA1" w:rsidRPr="00034AA1">
              <w:rPr>
                <w:sz w:val="20"/>
                <w:szCs w:val="20"/>
              </w:rPr>
              <w:t>private accreditate per l'assistenza specialistica ambulatorial</w:t>
            </w:r>
            <w:r>
              <w:rPr>
                <w:sz w:val="20"/>
                <w:szCs w:val="20"/>
              </w:rPr>
              <w:t>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2C14860A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Procedimento con il quale, a seguito dei verbali </w:t>
            </w:r>
            <w:r w:rsidR="0086265D" w:rsidRPr="0086265D">
              <w:rPr>
                <w:sz w:val="20"/>
                <w:szCs w:val="20"/>
              </w:rPr>
              <w:t>degli incontri tecnici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con le Associazioni di categoria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delle strutture private accreditate</w:t>
            </w:r>
            <w:r w:rsidR="000447A4">
              <w:rPr>
                <w:sz w:val="20"/>
                <w:szCs w:val="20"/>
              </w:rPr>
              <w:t xml:space="preserve"> per la branca di specialistica ambulatoriale</w:t>
            </w:r>
            <w:r w:rsidR="00077E39">
              <w:rPr>
                <w:sz w:val="20"/>
                <w:szCs w:val="20"/>
              </w:rPr>
              <w:t xml:space="preserve">, </w:t>
            </w:r>
            <w:r w:rsidR="0086265D">
              <w:rPr>
                <w:sz w:val="20"/>
                <w:szCs w:val="20"/>
              </w:rPr>
              <w:t>viene</w:t>
            </w:r>
            <w:r w:rsidR="00D82DA5">
              <w:rPr>
                <w:sz w:val="20"/>
                <w:szCs w:val="20"/>
              </w:rPr>
              <w:t xml:space="preserve"> data attuazione alle DGR in materia di limiti massimi di finanziamento e m</w:t>
            </w:r>
            <w:r w:rsidR="0086265D">
              <w:rPr>
                <w:sz w:val="20"/>
                <w:szCs w:val="20"/>
              </w:rPr>
              <w:t>odificat</w:t>
            </w:r>
            <w:r w:rsidR="001264A6">
              <w:rPr>
                <w:sz w:val="20"/>
                <w:szCs w:val="20"/>
              </w:rPr>
              <w:t>o</w:t>
            </w:r>
            <w:r w:rsidR="00EC7B77">
              <w:rPr>
                <w:sz w:val="20"/>
                <w:szCs w:val="20"/>
              </w:rPr>
              <w:t xml:space="preserve"> </w:t>
            </w:r>
            <w:proofErr w:type="spellStart"/>
            <w:r w:rsidR="00EC7B77">
              <w:rPr>
                <w:sz w:val="20"/>
                <w:szCs w:val="20"/>
              </w:rPr>
              <w:t>ed</w:t>
            </w:r>
            <w:proofErr w:type="spellEnd"/>
            <w:r w:rsidR="00EC7B77">
              <w:rPr>
                <w:sz w:val="20"/>
                <w:szCs w:val="20"/>
              </w:rPr>
              <w:t xml:space="preserve"> integrato</w:t>
            </w:r>
            <w:r w:rsidR="0086265D">
              <w:rPr>
                <w:sz w:val="20"/>
                <w:szCs w:val="20"/>
              </w:rPr>
              <w:t xml:space="preserve"> </w:t>
            </w:r>
            <w:r w:rsidR="001264A6" w:rsidRPr="001264A6">
              <w:rPr>
                <w:sz w:val="20"/>
                <w:szCs w:val="20"/>
              </w:rPr>
              <w:t>l’allegato B alla DGRC n. 215/2022</w:t>
            </w:r>
            <w:r w:rsidR="002039A7">
              <w:rPr>
                <w:sz w:val="20"/>
                <w:szCs w:val="20"/>
              </w:rPr>
              <w:t xml:space="preserve"> e viene demandata </w:t>
            </w:r>
            <w:r w:rsidR="002039A7" w:rsidRPr="002039A7">
              <w:rPr>
                <w:sz w:val="20"/>
                <w:szCs w:val="20"/>
              </w:rPr>
              <w:t>alle AA.SS.LL., in esecuzione di quanto disposto dalla DGRC n. 800/2023,</w:t>
            </w:r>
            <w:r w:rsidR="002039A7">
              <w:rPr>
                <w:sz w:val="20"/>
                <w:szCs w:val="20"/>
              </w:rPr>
              <w:t xml:space="preserve"> </w:t>
            </w:r>
            <w:r w:rsidR="002039A7" w:rsidRPr="002039A7">
              <w:rPr>
                <w:sz w:val="20"/>
                <w:szCs w:val="20"/>
              </w:rPr>
              <w:t>l’attività di rilevazione presso le strutture private accreditate di tutti i parametri di calcolo degli</w:t>
            </w:r>
            <w:r w:rsidR="000447A4">
              <w:rPr>
                <w:sz w:val="20"/>
                <w:szCs w:val="20"/>
              </w:rPr>
              <w:t xml:space="preserve"> </w:t>
            </w:r>
            <w:r w:rsidR="002039A7" w:rsidRPr="002039A7">
              <w:rPr>
                <w:sz w:val="20"/>
                <w:szCs w:val="20"/>
              </w:rPr>
              <w:t>indicatori di premialità, con riferimento ai dati</w:t>
            </w:r>
            <w:r w:rsidR="00D82DA5">
              <w:rPr>
                <w:sz w:val="20"/>
                <w:szCs w:val="20"/>
              </w:rPr>
              <w:t xml:space="preserve"> a </w:t>
            </w:r>
            <w:r w:rsidR="002039A7" w:rsidRPr="002039A7">
              <w:rPr>
                <w:sz w:val="20"/>
                <w:szCs w:val="20"/>
              </w:rPr>
              <w:t>consuntiv</w:t>
            </w:r>
            <w:r w:rsidR="00D82DA5">
              <w:rPr>
                <w:sz w:val="20"/>
                <w:szCs w:val="20"/>
              </w:rPr>
              <w:t>o</w:t>
            </w:r>
            <w:r w:rsidR="002039A7" w:rsidRPr="002039A7">
              <w:rPr>
                <w:sz w:val="20"/>
                <w:szCs w:val="20"/>
              </w:rPr>
              <w:t xml:space="preserve"> 2022 e 2023</w:t>
            </w:r>
            <w:r w:rsidR="000C3EC2">
              <w:rPr>
                <w:sz w:val="20"/>
                <w:szCs w:val="20"/>
              </w:rPr>
              <w:t>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739F9B9E" w:rsidR="0008066E" w:rsidRPr="004D6D10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B16253" w:rsidRPr="004D6D10">
              <w:rPr>
                <w:rFonts w:cs="Times New Roman"/>
                <w:sz w:val="20"/>
                <w:szCs w:val="20"/>
              </w:rPr>
              <w:t>15</w:t>
            </w:r>
            <w:r w:rsidR="00C046EF" w:rsidRPr="004D6D10">
              <w:rPr>
                <w:rFonts w:cs="Times New Roman"/>
                <w:sz w:val="20"/>
                <w:szCs w:val="20"/>
              </w:rPr>
              <w:t>-Monitoraggio beni e servizi sanitari e non sanitari</w:t>
            </w:r>
          </w:p>
          <w:p w14:paraId="154DE224" w14:textId="54C50836" w:rsidR="0008066E" w:rsidRPr="004D6D10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4D6D10">
              <w:rPr>
                <w:rFonts w:cs="Times New Roman"/>
                <w:sz w:val="20"/>
                <w:szCs w:val="20"/>
              </w:rPr>
              <w:t>Dr.</w:t>
            </w:r>
            <w:r w:rsidR="00D82DA5">
              <w:rPr>
                <w:rFonts w:cs="Times New Roman"/>
                <w:sz w:val="20"/>
                <w:szCs w:val="20"/>
              </w:rPr>
              <w:t>Giovanni</w:t>
            </w:r>
            <w:proofErr w:type="spellEnd"/>
            <w:proofErr w:type="gramEnd"/>
            <w:r w:rsidR="00D82DA5">
              <w:rPr>
                <w:rFonts w:cs="Times New Roman"/>
                <w:sz w:val="20"/>
                <w:szCs w:val="20"/>
              </w:rPr>
              <w:t xml:space="preserve"> Ungaro</w:t>
            </w:r>
          </w:p>
          <w:p w14:paraId="67E93CBE" w14:textId="697B9450" w:rsidR="0008066E" w:rsidRPr="004D6D10" w:rsidRDefault="00FD30E3" w:rsidP="00310BC4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7" w:history="1">
              <w:r w:rsidR="00D82DA5">
                <w:rPr>
                  <w:rStyle w:val="Collegamentoipertestuale"/>
                  <w:sz w:val="20"/>
                  <w:szCs w:val="20"/>
                </w:rPr>
                <w:t>giovanni</w:t>
              </w:r>
              <w:r w:rsidR="005107D9" w:rsidRPr="004D6D10">
                <w:rPr>
                  <w:rStyle w:val="Collegamentoipertestuale"/>
                  <w:sz w:val="20"/>
                  <w:szCs w:val="20"/>
                </w:rPr>
                <w:t>.</w:t>
              </w:r>
              <w:r w:rsidR="00D82DA5">
                <w:rPr>
                  <w:rStyle w:val="Collegamentoipertestuale"/>
                  <w:sz w:val="20"/>
                  <w:szCs w:val="20"/>
                </w:rPr>
                <w:t>ungaro</w:t>
              </w:r>
              <w:r w:rsidR="005107D9" w:rsidRPr="004D6D10">
                <w:rPr>
                  <w:rStyle w:val="Collegamentoipertestuale"/>
                  <w:sz w:val="20"/>
                  <w:szCs w:val="20"/>
                </w:rPr>
                <w:t>@regione.campania.it</w:t>
              </w:r>
            </w:hyperlink>
          </w:p>
          <w:p w14:paraId="143BAA7E" w14:textId="5892CF7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2A45DF66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77777777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8EB6942" w14:textId="096979BB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</w:p>
          <w:p w14:paraId="1A31BB42" w14:textId="77777777" w:rsidR="00C046EF" w:rsidRPr="00E118EC" w:rsidRDefault="00FD30E3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8" w:history="1">
              <w:r w:rsidR="00C046EF"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0E981E3" w14:textId="77777777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192889B4" w:rsidR="0008066E" w:rsidRPr="00E118EC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FD30E3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C046EF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76D0F532" w:rsidR="00E64AB0" w:rsidRDefault="00715E56" w:rsidP="00715E56">
            <w:pPr>
              <w:pStyle w:val="TableContents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337A5396" w:rsidR="00E64AB0" w:rsidRDefault="00715E56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DGR n. 215/2022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3F40166C" w:rsidR="00E64AB0" w:rsidRDefault="00162B16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162B16">
              <w:rPr>
                <w:rFonts w:cs="Times New Roman"/>
                <w:sz w:val="20"/>
                <w:szCs w:val="20"/>
              </w:rPr>
              <w:t>eliberazione della Giunta regionale n. 800/2023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06781026" w:rsidR="00E64AB0" w:rsidRDefault="00C046EF" w:rsidP="00C046EF">
            <w:pPr>
              <w:pStyle w:val="TableContents"/>
            </w:pPr>
            <w:r>
              <w:rPr>
                <w:rFonts w:cs="Times New Roman"/>
                <w:sz w:val="20"/>
                <w:szCs w:val="20"/>
              </w:rPr>
              <w:t xml:space="preserve">                          </w:t>
            </w:r>
            <w:r w:rsidR="007E0FBF">
              <w:rPr>
                <w:rFonts w:cs="Times New Roman"/>
                <w:sz w:val="20"/>
                <w:szCs w:val="20"/>
              </w:rPr>
              <w:t xml:space="preserve">         </w:t>
            </w:r>
            <w:r>
              <w:rPr>
                <w:rFonts w:cs="Times New Roman"/>
                <w:sz w:val="20"/>
                <w:szCs w:val="20"/>
              </w:rPr>
              <w:t xml:space="preserve"> Modulistica allegata al decreto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46574CE8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0D418AF0" w14:textId="2846B9A8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081 7969360</w:t>
            </w:r>
            <w:r w:rsidR="007E0FBF" w:rsidRPr="00257127">
              <w:rPr>
                <w:sz w:val="20"/>
                <w:szCs w:val="20"/>
                <w:shd w:val="clear" w:color="auto" w:fill="FFFFFF"/>
              </w:rPr>
              <w:t>- 081 7969851</w:t>
            </w:r>
          </w:p>
          <w:p w14:paraId="76B22410" w14:textId="24A9AC1E" w:rsidR="00E64AB0" w:rsidRDefault="00E64AB0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426C8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EE086CB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6A0062B" w:rsidR="00E64AB0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dg04.monitoraggiobeni@pec.regione.campania.it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6A0B9437" w:rsidR="00E64AB0" w:rsidRDefault="007E0FBF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DEFINITI DALLA DGR 800/2023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177B353C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VEDI ORDINAMENTO REGIONLAE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E1B71B9" w:rsidR="00E64AB0" w:rsidRDefault="00204FC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Tetti di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spesa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7E0FBF">
              <w:rPr>
                <w:rFonts w:cs="Times New Roman"/>
                <w:sz w:val="20"/>
                <w:szCs w:val="20"/>
                <w:lang w:val="en-GB"/>
              </w:rPr>
              <w:t>assistenza</w:t>
            </w:r>
            <w:proofErr w:type="spellEnd"/>
            <w:r w:rsidR="007E0FBF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specialistica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ambulatoriale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A075F"/>
    <w:rsid w:val="002C3533"/>
    <w:rsid w:val="002D57BE"/>
    <w:rsid w:val="00303179"/>
    <w:rsid w:val="003045E3"/>
    <w:rsid w:val="00310BC4"/>
    <w:rsid w:val="00311EF7"/>
    <w:rsid w:val="00362584"/>
    <w:rsid w:val="00385FB8"/>
    <w:rsid w:val="00414442"/>
    <w:rsid w:val="00454E2D"/>
    <w:rsid w:val="00491436"/>
    <w:rsid w:val="004D6D10"/>
    <w:rsid w:val="004E2151"/>
    <w:rsid w:val="005107D9"/>
    <w:rsid w:val="005234BC"/>
    <w:rsid w:val="0054010E"/>
    <w:rsid w:val="0055501E"/>
    <w:rsid w:val="00564935"/>
    <w:rsid w:val="006B2D31"/>
    <w:rsid w:val="006D3A37"/>
    <w:rsid w:val="007137C8"/>
    <w:rsid w:val="00715E56"/>
    <w:rsid w:val="007303C3"/>
    <w:rsid w:val="00735197"/>
    <w:rsid w:val="00757EFD"/>
    <w:rsid w:val="00774544"/>
    <w:rsid w:val="00793CA3"/>
    <w:rsid w:val="007E0FBF"/>
    <w:rsid w:val="00815F89"/>
    <w:rsid w:val="0086265D"/>
    <w:rsid w:val="00876E5B"/>
    <w:rsid w:val="00902C2C"/>
    <w:rsid w:val="00916907"/>
    <w:rsid w:val="009B0D50"/>
    <w:rsid w:val="009B45E4"/>
    <w:rsid w:val="009C28DE"/>
    <w:rsid w:val="009E60BA"/>
    <w:rsid w:val="009F5589"/>
    <w:rsid w:val="00A46B6B"/>
    <w:rsid w:val="00B16253"/>
    <w:rsid w:val="00B3140F"/>
    <w:rsid w:val="00B65870"/>
    <w:rsid w:val="00B739C4"/>
    <w:rsid w:val="00B82134"/>
    <w:rsid w:val="00BC7439"/>
    <w:rsid w:val="00C046EF"/>
    <w:rsid w:val="00C36036"/>
    <w:rsid w:val="00C83DAD"/>
    <w:rsid w:val="00CC06C9"/>
    <w:rsid w:val="00CE1FA5"/>
    <w:rsid w:val="00D06C2D"/>
    <w:rsid w:val="00D12333"/>
    <w:rsid w:val="00D32158"/>
    <w:rsid w:val="00D82DA5"/>
    <w:rsid w:val="00DE2BE9"/>
    <w:rsid w:val="00E118EC"/>
    <w:rsid w:val="00E64AB0"/>
    <w:rsid w:val="00EB5FA4"/>
    <w:rsid w:val="00EC7B77"/>
    <w:rsid w:val="00ED2AD9"/>
    <w:rsid w:val="00F04835"/>
    <w:rsid w:val="00F14B75"/>
    <w:rsid w:val="00F7085D"/>
    <w:rsid w:val="00FB7769"/>
    <w:rsid w:val="00FD30E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7189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32</cp:revision>
  <cp:lastPrinted>2018-07-05T08:56:00Z</cp:lastPrinted>
  <dcterms:created xsi:type="dcterms:W3CDTF">2024-03-05T09:05:00Z</dcterms:created>
  <dcterms:modified xsi:type="dcterms:W3CDTF">2024-03-25T09:59:00Z</dcterms:modified>
</cp:coreProperties>
</file>