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18D885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767"/>
      </w:tblGrid>
      <w:tr w:rsidR="00A4679A" w:rsidRPr="00972971" w14:paraId="783A5DB4" w14:textId="77777777" w:rsidTr="008365EB">
        <w:tc>
          <w:tcPr>
            <w:tcW w:w="14034" w:type="dxa"/>
            <w:gridSpan w:val="3"/>
          </w:tcPr>
          <w:p w14:paraId="6DB3A939" w14:textId="77777777" w:rsidR="008E09DC" w:rsidRPr="00C5052E" w:rsidRDefault="008E09DC" w:rsidP="008E09DC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206FDE14" w14:textId="77777777" w:rsidR="008E09DC" w:rsidRPr="00C5052E" w:rsidRDefault="008E09DC" w:rsidP="008E09DC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7EA76E2B" w14:textId="77777777" w:rsidR="00A4679A" w:rsidRPr="00F32388" w:rsidRDefault="008E09DC" w:rsidP="008E09D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A8697B" w14:paraId="147D6E93" w14:textId="77777777" w:rsidTr="00192076">
        <w:trPr>
          <w:trHeight w:val="1456"/>
        </w:trPr>
        <w:tc>
          <w:tcPr>
            <w:tcW w:w="709" w:type="dxa"/>
          </w:tcPr>
          <w:p w14:paraId="7229CCC8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48A20161" w14:textId="77777777" w:rsidR="00A4679A" w:rsidRPr="00A8697B" w:rsidRDefault="00A4679A" w:rsidP="00A4679A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697B">
              <w:rPr>
                <w:rFonts w:ascii="Arial" w:hAnsi="Arial" w:cs="Arial"/>
                <w:b/>
                <w:sz w:val="22"/>
                <w:szCs w:val="22"/>
              </w:rPr>
              <w:t>DENOMINAZIONE DEL PROCEDIMENTO</w:t>
            </w:r>
          </w:p>
          <w:p w14:paraId="0A1BAF4C" w14:textId="77777777" w:rsidR="00A4679A" w:rsidRPr="00A8697B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6320ADE8" w14:textId="77777777" w:rsidR="00A4679A" w:rsidRPr="00A8697B" w:rsidRDefault="00A4679A" w:rsidP="0019207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</w:t>
            </w:r>
          </w:p>
        </w:tc>
        <w:tc>
          <w:tcPr>
            <w:tcW w:w="6767" w:type="dxa"/>
            <w:vAlign w:val="center"/>
          </w:tcPr>
          <w:p w14:paraId="77BC7911" w14:textId="77777777" w:rsidR="00A4679A" w:rsidRPr="00A8697B" w:rsidRDefault="00230D21" w:rsidP="00D2629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FSC 20</w:t>
            </w:r>
            <w:r w:rsidR="000E5C45">
              <w:rPr>
                <w:rFonts w:ascii="Arial" w:hAnsi="Arial" w:cs="Arial"/>
                <w:sz w:val="22"/>
                <w:szCs w:val="22"/>
              </w:rPr>
              <w:t>14</w:t>
            </w:r>
            <w:r w:rsidRPr="00A8697B">
              <w:rPr>
                <w:rFonts w:ascii="Arial" w:hAnsi="Arial" w:cs="Arial"/>
                <w:sz w:val="22"/>
                <w:szCs w:val="22"/>
              </w:rPr>
              <w:t>-20</w:t>
            </w:r>
            <w:r w:rsidR="000E5C45">
              <w:rPr>
                <w:rFonts w:ascii="Arial" w:hAnsi="Arial" w:cs="Arial"/>
                <w:sz w:val="22"/>
                <w:szCs w:val="22"/>
              </w:rPr>
              <w:t>20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- Linea di Azione del “</w:t>
            </w:r>
            <w:r w:rsidRPr="00A8697B">
              <w:rPr>
                <w:rFonts w:ascii="Arial" w:hAnsi="Arial" w:cs="Arial"/>
                <w:i/>
                <w:sz w:val="22"/>
                <w:szCs w:val="22"/>
              </w:rPr>
              <w:t xml:space="preserve">Piano di </w:t>
            </w:r>
            <w:r w:rsidR="000E5C45" w:rsidRPr="000E5C45">
              <w:rPr>
                <w:rFonts w:ascii="Arial" w:hAnsi="Arial" w:cs="Arial"/>
                <w:i/>
                <w:sz w:val="22"/>
                <w:szCs w:val="22"/>
              </w:rPr>
              <w:t>interventi per la realizzazione di centri di stoccaggio e trattamento delle frazioni secche differenziate dei rifiuti solidi urbani a servizio dei Comuni attraverso gli Enti d’Ambito</w:t>
            </w:r>
            <w:r w:rsidRPr="00A8697B">
              <w:rPr>
                <w:rFonts w:ascii="Arial" w:hAnsi="Arial" w:cs="Arial"/>
                <w:sz w:val="22"/>
                <w:szCs w:val="22"/>
              </w:rPr>
              <w:t>” in attuazione della DGR n. 737 del 13/11/2018, DGR n. 45 del 06/02/2019</w:t>
            </w:r>
            <w:r w:rsidR="000E5C45">
              <w:rPr>
                <w:rFonts w:ascii="Arial" w:hAnsi="Arial" w:cs="Arial"/>
                <w:sz w:val="22"/>
                <w:szCs w:val="22"/>
              </w:rPr>
              <w:t xml:space="preserve"> e DGR n. 397 del 28/07/2020</w:t>
            </w:r>
          </w:p>
        </w:tc>
      </w:tr>
      <w:tr w:rsidR="009330B4" w:rsidRPr="00A8697B" w14:paraId="7FA37EEF" w14:textId="77777777" w:rsidTr="008365EB">
        <w:tc>
          <w:tcPr>
            <w:tcW w:w="709" w:type="dxa"/>
          </w:tcPr>
          <w:p w14:paraId="2B07B85F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238EC7A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697B">
              <w:rPr>
                <w:rFonts w:ascii="Arial" w:hAnsi="Arial" w:cs="Arial"/>
                <w:b/>
                <w:sz w:val="22"/>
                <w:szCs w:val="22"/>
              </w:rPr>
              <w:t>DESCRIZIONE DEL PROCEDIMENTO</w:t>
            </w:r>
          </w:p>
          <w:p w14:paraId="3CD4E79A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A8697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C5CC45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A8697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53A5E4B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A8697B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7B4013F2" w14:textId="77777777" w:rsidR="009330B4" w:rsidRPr="00A8697B" w:rsidRDefault="009330B4" w:rsidP="00F43E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644A2DA9" w14:textId="77777777" w:rsidR="00230D21" w:rsidRPr="00A8697B" w:rsidRDefault="00230D21" w:rsidP="00230D2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 valle della presentazione del progetto esecutivo da parte de</w:t>
            </w:r>
            <w:r w:rsidR="000E5C45">
              <w:rPr>
                <w:rFonts w:ascii="Arial" w:hAnsi="Arial" w:cs="Arial"/>
                <w:sz w:val="22"/>
                <w:szCs w:val="22"/>
              </w:rPr>
              <w:t xml:space="preserve">gli Enti d’Ambito per la gestione dei rifiuti, </w:t>
            </w:r>
            <w:r w:rsidRPr="00A8697B">
              <w:rPr>
                <w:rFonts w:ascii="Arial" w:hAnsi="Arial" w:cs="Arial"/>
                <w:sz w:val="22"/>
                <w:szCs w:val="22"/>
              </w:rPr>
              <w:t>in qualità di soggett</w:t>
            </w:r>
            <w:r w:rsidR="000E5C45">
              <w:rPr>
                <w:rFonts w:ascii="Arial" w:hAnsi="Arial" w:cs="Arial"/>
                <w:sz w:val="22"/>
                <w:szCs w:val="22"/>
              </w:rPr>
              <w:t>i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attuator</w:t>
            </w:r>
            <w:r w:rsidR="000E5C45">
              <w:rPr>
                <w:rFonts w:ascii="Arial" w:hAnsi="Arial" w:cs="Arial"/>
                <w:sz w:val="22"/>
                <w:szCs w:val="22"/>
              </w:rPr>
              <w:t>i,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e della relativa istruttoria amministrativa, quest’ultimo viene ammesso a finanziamento e, contestualmente, viene adottato lo schema di Convenzione riportante i criteri e gli indirizzi per l’attuazione dell’intervento.</w:t>
            </w:r>
          </w:p>
          <w:p w14:paraId="0CC6AB40" w14:textId="77777777" w:rsidR="00230D21" w:rsidRPr="00A8697B" w:rsidRDefault="00230D21" w:rsidP="00230D2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 seguito della sottoscrizione della convenzione viene adottato il provvedimento di impegno di spesa, cui seguirà la liquidazione di un primo acconto.</w:t>
            </w:r>
          </w:p>
          <w:p w14:paraId="3CA47D95" w14:textId="77777777" w:rsidR="0040500A" w:rsidRPr="00A8697B" w:rsidRDefault="00230D21" w:rsidP="00230D2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I successivi step di liquidazione vengono predisposti a rendicontazione delle spese effettivamente sostenute e sulla base dello stato di avanzamento dei servizi resi.</w:t>
            </w:r>
            <w:r w:rsidR="00072D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6FFE" w:rsidRPr="00A8697B">
              <w:rPr>
                <w:rFonts w:ascii="Arial" w:hAnsi="Arial" w:cs="Arial"/>
                <w:sz w:val="22"/>
                <w:szCs w:val="22"/>
              </w:rPr>
              <w:t xml:space="preserve">I successivi step di liquidazione </w:t>
            </w:r>
            <w:r w:rsidR="00A742DE" w:rsidRPr="00A8697B">
              <w:rPr>
                <w:rFonts w:ascii="Arial" w:hAnsi="Arial" w:cs="Arial"/>
                <w:sz w:val="22"/>
                <w:szCs w:val="22"/>
              </w:rPr>
              <w:t>vengono predisposti</w:t>
            </w:r>
            <w:r w:rsidR="00E16FFE" w:rsidRPr="00A8697B">
              <w:rPr>
                <w:rFonts w:ascii="Arial" w:hAnsi="Arial" w:cs="Arial"/>
                <w:sz w:val="22"/>
                <w:szCs w:val="22"/>
              </w:rPr>
              <w:t xml:space="preserve"> a rendicontazione delle spese effettivamente sostenute </w:t>
            </w:r>
            <w:r w:rsidR="00A742DE" w:rsidRPr="00A8697B">
              <w:rPr>
                <w:rFonts w:ascii="Arial" w:hAnsi="Arial" w:cs="Arial"/>
                <w:sz w:val="22"/>
                <w:szCs w:val="22"/>
              </w:rPr>
              <w:t>(almeno l’80% dell’ultima rata liquidata) e sulla base dello stato di avanzamento lavori.</w:t>
            </w:r>
          </w:p>
          <w:p w14:paraId="0D7293F9" w14:textId="77777777" w:rsidR="00B04F75" w:rsidRPr="00A8697B" w:rsidRDefault="00A742DE" w:rsidP="00B04F75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Il saldo del 10% viene predisposto ad avvenuta approvazione del collaudo finale e a seguito della rendicontazione finale e complessiva delle spese.</w:t>
            </w:r>
          </w:p>
        </w:tc>
      </w:tr>
      <w:tr w:rsidR="009330B4" w:rsidRPr="00A8697B" w14:paraId="181CF8C8" w14:textId="77777777" w:rsidTr="008365EB">
        <w:trPr>
          <w:trHeight w:val="1380"/>
        </w:trPr>
        <w:tc>
          <w:tcPr>
            <w:tcW w:w="709" w:type="dxa"/>
          </w:tcPr>
          <w:p w14:paraId="3E49A1F7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29D76669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7809047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2A2BCE3C" w14:textId="77777777" w:rsidR="009330B4" w:rsidRPr="00A8697B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767" w:type="dxa"/>
            <w:vAlign w:val="center"/>
          </w:tcPr>
          <w:p w14:paraId="6D93907D" w14:textId="77777777" w:rsidR="009330B4" w:rsidRPr="00A8697B" w:rsidRDefault="00F32388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STAFF Tecnico – Operativo Infrazioni Comunitarie e Piano Regionale dei Rifiuti 501791</w:t>
            </w:r>
          </w:p>
          <w:p w14:paraId="511AEA32" w14:textId="77777777" w:rsidR="00D26A0B" w:rsidRDefault="00F32388" w:rsidP="00913FA9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081/7963002 – 081/7963</w:t>
            </w:r>
            <w:r w:rsidR="00913FA9"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253</w:t>
            </w:r>
          </w:p>
          <w:p w14:paraId="10975177" w14:textId="77777777" w:rsidR="00F32388" w:rsidRPr="00A8697B" w:rsidRDefault="00F32388" w:rsidP="00913FA9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7" w:history="1">
              <w:r w:rsidR="00D26A0B" w:rsidRPr="009F6365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A8697B" w14:paraId="2125E21B" w14:textId="77777777" w:rsidTr="008365EB">
        <w:tc>
          <w:tcPr>
            <w:tcW w:w="709" w:type="dxa"/>
          </w:tcPr>
          <w:p w14:paraId="2A80CD20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2A4A0E82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61B4872" w14:textId="77777777" w:rsidR="009330B4" w:rsidRPr="00A8697B" w:rsidRDefault="009330B4" w:rsidP="00F43E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767" w:type="dxa"/>
            <w:vAlign w:val="center"/>
          </w:tcPr>
          <w:p w14:paraId="0FB73899" w14:textId="77777777" w:rsidR="008E09DC" w:rsidRDefault="008E09DC" w:rsidP="008E09DC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Responsabile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Unico di Attuazione (RUA)</w:t>
            </w:r>
            <w:r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Direttore Generale </w:t>
            </w:r>
            <w:r w:rsidRPr="00574E98">
              <w:rPr>
                <w:rFonts w:ascii="Arial" w:hAnsi="Arial" w:cs="Arial"/>
                <w:sz w:val="22"/>
                <w:szCs w:val="22"/>
              </w:rPr>
              <w:t>Ciclo Integrato delle Acque 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Autorizzazioni Ambientali – </w:t>
            </w:r>
            <w:r>
              <w:rPr>
                <w:rFonts w:ascii="Arial" w:hAnsi="Arial" w:cs="Arial"/>
                <w:sz w:val="22"/>
                <w:szCs w:val="22"/>
              </w:rPr>
              <w:t xml:space="preserve">dott. Antonello Barretta; tel. 081796 3198; </w:t>
            </w:r>
          </w:p>
          <w:p w14:paraId="030310BD" w14:textId="77777777" w:rsidR="008E09DC" w:rsidRDefault="008E09DC" w:rsidP="008E09DC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8" w:history="1">
              <w:r w:rsidRPr="005C657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antonello.barretta@regione.campania.it</w:t>
              </w:r>
            </w:hyperlink>
            <w:r w:rsidRPr="00574E9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7A5DD42" w14:textId="77777777" w:rsidR="00683EC4" w:rsidRPr="00A8697B" w:rsidRDefault="008E09DC" w:rsidP="008E09DC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9" w:history="1">
              <w:r w:rsidRPr="00CC6D85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</w:t>
              </w:r>
              <w:r w:rsidRPr="00CC6D8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g.501700@pec.regione.campania.it</w:t>
              </w:r>
            </w:hyperlink>
          </w:p>
        </w:tc>
      </w:tr>
      <w:tr w:rsidR="009330B4" w:rsidRPr="00A8697B" w14:paraId="2192F340" w14:textId="77777777" w:rsidTr="008365EB">
        <w:tc>
          <w:tcPr>
            <w:tcW w:w="709" w:type="dxa"/>
          </w:tcPr>
          <w:p w14:paraId="455FE7F8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0B52FDD9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9E11EC4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1C65E9C5" w14:textId="77777777" w:rsidR="009330B4" w:rsidRPr="00A8697B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767" w:type="dxa"/>
            <w:vAlign w:val="center"/>
          </w:tcPr>
          <w:p w14:paraId="0CC5F69F" w14:textId="77777777" w:rsidR="00616BDA" w:rsidRPr="00A8697B" w:rsidRDefault="00AE4CB1" w:rsidP="00AE4CB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Dott. Andrea Catalano, </w:t>
            </w:r>
            <w:hyperlink r:id="rId10" w:history="1">
              <w:r w:rsidRPr="004F19C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andrea.catalano@regione.campania.it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081/7963124</w:t>
            </w:r>
          </w:p>
        </w:tc>
      </w:tr>
      <w:tr w:rsidR="009330B4" w:rsidRPr="00A8697B" w14:paraId="2EA7BB24" w14:textId="77777777" w:rsidTr="008365EB">
        <w:tc>
          <w:tcPr>
            <w:tcW w:w="709" w:type="dxa"/>
          </w:tcPr>
          <w:p w14:paraId="1D8AAEA7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C5AEC52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7728F3B5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791A5293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DEB9EE" w14:textId="77777777" w:rsidR="009330B4" w:rsidRPr="00F43ECC" w:rsidRDefault="009330B4" w:rsidP="00F43E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767" w:type="dxa"/>
            <w:vAlign w:val="center"/>
          </w:tcPr>
          <w:p w14:paraId="588FA1EC" w14:textId="77777777" w:rsidR="00D26A0B" w:rsidRDefault="00DF1979" w:rsidP="00D26A0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Decreto legislativo 3 aprile 2006 n. 152 </w:t>
            </w:r>
            <w:r w:rsidR="005C0BD0" w:rsidRPr="00A8697B">
              <w:rPr>
                <w:rFonts w:ascii="Arial" w:hAnsi="Arial" w:cs="Arial"/>
                <w:sz w:val="22"/>
                <w:szCs w:val="22"/>
              </w:rPr>
              <w:t>cd Codice dell’Ambiente - Parte IV Rifiuti</w:t>
            </w:r>
          </w:p>
          <w:p w14:paraId="1943B900" w14:textId="77777777" w:rsidR="000E5C45" w:rsidRDefault="000E5C45" w:rsidP="00D26A0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delibera CIPE n. 25/2016 recante “Fondo Sviluppo e Coesione 2014 – 2020. Aree tematiche nazionali e obiettivi strategici – Ripartizione ai sensi dell’articolo 1, comma 703, lettere B) e</w:t>
            </w:r>
            <w:r w:rsidR="00D26A0B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C) della legge n. 190/2014”;</w:t>
            </w:r>
          </w:p>
          <w:p w14:paraId="561CEC72" w14:textId="77777777" w:rsidR="009330B4" w:rsidRPr="000E5C45" w:rsidRDefault="000E5C45" w:rsidP="00D26A0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delibera CIPE n. 26/2016 recante “Fondo Sviluppo e Coesione 2014- 2020: Piano per il Mezzogiorno. Assegnazione risorse”.</w:t>
            </w:r>
          </w:p>
        </w:tc>
      </w:tr>
      <w:tr w:rsidR="009330B4" w:rsidRPr="00A8697B" w14:paraId="24A653F5" w14:textId="77777777" w:rsidTr="008365EB">
        <w:trPr>
          <w:trHeight w:val="1059"/>
        </w:trPr>
        <w:tc>
          <w:tcPr>
            <w:tcW w:w="709" w:type="dxa"/>
          </w:tcPr>
          <w:p w14:paraId="73C312DD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DB7B0BB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B03C6EF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4AF37FDD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A7D0E3C" w14:textId="77777777" w:rsidR="009330B4" w:rsidRPr="00A8697B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767" w:type="dxa"/>
            <w:vAlign w:val="center"/>
          </w:tcPr>
          <w:p w14:paraId="2A98028B" w14:textId="77777777" w:rsidR="009330B4" w:rsidRPr="00A8697B" w:rsidRDefault="00DF1979" w:rsidP="00DF19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Legge Regionale 26 maggio 2016, n. 14</w:t>
            </w:r>
            <w:r w:rsidR="00A8697B" w:rsidRPr="00A8697B">
              <w:t xml:space="preserve"> </w:t>
            </w:r>
            <w:r w:rsidR="00A8697B" w:rsidRPr="00A8697B">
              <w:rPr>
                <w:rFonts w:ascii="Arial" w:hAnsi="Arial" w:cs="Arial"/>
                <w:sz w:val="22"/>
                <w:szCs w:val="22"/>
              </w:rPr>
              <w:t>“Norme di attuazione della disciplina europea e nazionale in materia di rifiuti e dell’economia circolare”</w:t>
            </w:r>
          </w:p>
        </w:tc>
      </w:tr>
      <w:tr w:rsidR="009330B4" w:rsidRPr="00A8697B" w14:paraId="6322837B" w14:textId="77777777" w:rsidTr="008365EB">
        <w:trPr>
          <w:trHeight w:val="1059"/>
        </w:trPr>
        <w:tc>
          <w:tcPr>
            <w:tcW w:w="709" w:type="dxa"/>
          </w:tcPr>
          <w:p w14:paraId="1BEFA018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2DD7423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14BD3E21" w14:textId="77777777" w:rsidR="004C1548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A8697B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3B05428B" w14:textId="77777777" w:rsidR="009330B4" w:rsidRPr="00A8697B" w:rsidRDefault="009330B4" w:rsidP="00F43E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767" w:type="dxa"/>
            <w:vAlign w:val="center"/>
          </w:tcPr>
          <w:p w14:paraId="53D69E12" w14:textId="77777777" w:rsidR="00C60DD2" w:rsidRDefault="00C60DD2" w:rsidP="00C60DD2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Convenzione, adottata in uno al Decreto di Ammissione al finanziamento riporta le reciproche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obblicazioni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tra le Parti sottoscrittrici (Regione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Ente d’Ambito),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nonchè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criteri e gli indirizzi di dettaglio per l’attuazione dell’intervento.</w:t>
            </w:r>
          </w:p>
          <w:p w14:paraId="6B7AEEA1" w14:textId="77777777" w:rsidR="00C60DD2" w:rsidRDefault="00C60DD2" w:rsidP="00C60D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beneficiario è responsabile dell’attivazione e gestione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dei  procedimenti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amministrativi di competenza in ordine agli affidamenti (esecuzione lavori e/o acquisizione di servizi), a partire dalla stipula dei contratti con le ditte aggiudicatarie.</w:t>
            </w:r>
          </w:p>
          <w:p w14:paraId="66218B60" w14:textId="77777777" w:rsidR="009330B4" w:rsidRPr="00A8697B" w:rsidRDefault="000806D7" w:rsidP="0019207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 xml:space="preserve"> seguito della acquisizione della documentazione di gara e del Quadro Economico rimodulato </w:t>
            </w:r>
            <w:r w:rsidR="00FA3B14" w:rsidRPr="00A8697B">
              <w:rPr>
                <w:rFonts w:ascii="Arial" w:hAnsi="Arial" w:cs="Arial"/>
                <w:sz w:val="22"/>
                <w:szCs w:val="22"/>
              </w:rPr>
              <w:t xml:space="preserve">l’Ufficio competente </w:t>
            </w:r>
            <w:proofErr w:type="gramStart"/>
            <w:r w:rsidR="00FA3B14" w:rsidRPr="00A8697B">
              <w:rPr>
                <w:rFonts w:ascii="Arial" w:hAnsi="Arial" w:cs="Arial"/>
                <w:sz w:val="22"/>
                <w:szCs w:val="22"/>
              </w:rPr>
              <w:t xml:space="preserve">pone </w:t>
            </w:r>
            <w:r w:rsidR="00986B79" w:rsidRPr="00A8697B">
              <w:rPr>
                <w:rFonts w:ascii="Arial" w:hAnsi="Arial" w:cs="Arial"/>
                <w:sz w:val="22"/>
                <w:szCs w:val="22"/>
              </w:rPr>
              <w:t>in essere</w:t>
            </w:r>
            <w:proofErr w:type="gramEnd"/>
            <w:r w:rsidR="00986B79" w:rsidRPr="00A869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97B">
              <w:rPr>
                <w:rFonts w:ascii="Arial" w:hAnsi="Arial" w:cs="Arial"/>
                <w:sz w:val="22"/>
                <w:szCs w:val="22"/>
              </w:rPr>
              <w:t>le procedure di finanziamento (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>ammissione definitiva a finanziamento</w:t>
            </w:r>
            <w:r w:rsidR="00FD07E6" w:rsidRPr="00A8697B">
              <w:rPr>
                <w:rFonts w:ascii="Arial" w:hAnsi="Arial" w:cs="Arial"/>
                <w:sz w:val="22"/>
                <w:szCs w:val="22"/>
              </w:rPr>
              <w:t>,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 xml:space="preserve"> contestuale liquidazione del primo acconto, 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seguono </w:t>
            </w:r>
            <w:r w:rsidR="00FD07E6" w:rsidRPr="00A8697B">
              <w:rPr>
                <w:rFonts w:ascii="Arial" w:hAnsi="Arial" w:cs="Arial"/>
                <w:sz w:val="22"/>
                <w:szCs w:val="22"/>
              </w:rPr>
              <w:t>le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liquidazion</w:t>
            </w:r>
            <w:r w:rsidR="00FD07E6" w:rsidRPr="00A8697B">
              <w:rPr>
                <w:rFonts w:ascii="Arial" w:hAnsi="Arial" w:cs="Arial"/>
                <w:sz w:val="22"/>
                <w:szCs w:val="22"/>
              </w:rPr>
              <w:t>i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per successive tranches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 xml:space="preserve"> fino al saldo finale</w:t>
            </w:r>
            <w:r w:rsidR="00FA3B14" w:rsidRPr="00A8697B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="00D2629C" w:rsidRPr="00A8697B">
              <w:rPr>
                <w:rFonts w:ascii="Arial" w:hAnsi="Arial" w:cs="Arial"/>
                <w:sz w:val="22"/>
                <w:szCs w:val="22"/>
              </w:rPr>
              <w:t>Il soggetto beneficiario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dovrà </w:t>
            </w:r>
            <w:proofErr w:type="gramStart"/>
            <w:r w:rsidRPr="00A8697B">
              <w:rPr>
                <w:rFonts w:ascii="Arial" w:hAnsi="Arial" w:cs="Arial"/>
                <w:sz w:val="22"/>
                <w:szCs w:val="22"/>
              </w:rPr>
              <w:t>porre in essere</w:t>
            </w:r>
            <w:proofErr w:type="gramEnd"/>
            <w:r w:rsidRPr="00A8697B">
              <w:rPr>
                <w:rFonts w:ascii="Arial" w:hAnsi="Arial" w:cs="Arial"/>
                <w:sz w:val="22"/>
                <w:szCs w:val="22"/>
              </w:rPr>
              <w:t xml:space="preserve"> una serie di procedimenti amministrativi di competenza (produzione di atti amministrativo-contabili e attestazioni di regolarità) al fine di ottenere le varie erogazioni fino al saldo finale.</w:t>
            </w:r>
          </w:p>
          <w:p w14:paraId="2FECC981" w14:textId="77777777" w:rsidR="00D26A0B" w:rsidRDefault="00A8697B" w:rsidP="00A8697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L’atto di ammissione a finanziamento </w:t>
            </w:r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viene pubblicati ai sensi e per gli effetti dell’agli </w:t>
            </w:r>
            <w:proofErr w:type="gramStart"/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art..</w:t>
            </w:r>
            <w:proofErr w:type="gramEnd"/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 26 e 27 del D.lgs 33/2015 sul portale della </w:t>
            </w:r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lastRenderedPageBreak/>
              <w:t xml:space="preserve">trasparenza al </w:t>
            </w:r>
            <w:r w:rsidRPr="00A8697B">
              <w:rPr>
                <w:rFonts w:ascii="Arial" w:hAnsi="Arial" w:cs="Arial"/>
                <w:sz w:val="22"/>
                <w:szCs w:val="22"/>
              </w:rPr>
              <w:t>seguente link:</w:t>
            </w:r>
          </w:p>
          <w:p w14:paraId="29FB155C" w14:textId="77777777" w:rsidR="00A8697B" w:rsidRPr="00A8697B" w:rsidRDefault="00A8697B" w:rsidP="00A8697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Pr="00A8697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</w:t>
              </w:r>
              <w:r w:rsidRPr="00A8697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i</w:t>
              </w:r>
              <w:r w:rsidRPr="00A8697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t/regione/it/amministrazione-trasparente-fy2n/sovvenzioni-contributi-sussidi-vantaggi-economici</w:t>
              </w:r>
            </w:hyperlink>
          </w:p>
          <w:p w14:paraId="206F2671" w14:textId="77777777" w:rsidR="00986B79" w:rsidRPr="00A8697B" w:rsidRDefault="00A8697B" w:rsidP="00A8697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I provvedimenti di natura contabile (impegno di spesa e/o liquidazioni, saldi) vengono trasmessi alla pubblicazione sul portale “REGIONE CAMPANIA CASA DI VETRO” </w:t>
            </w:r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seguente link: </w:t>
            </w:r>
            <w:hyperlink r:id="rId12" w:history="1">
              <w:r w:rsidRPr="00A8697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http://www.regione.campania.it/regione/it/la-tua-campania/regione-casa-di-vetro</w:t>
              </w:r>
            </w:hyperlink>
            <w:r w:rsidRPr="00A8697B">
              <w:rPr>
                <w:rFonts w:ascii="Arial" w:hAnsi="Arial" w:cs="Arial"/>
                <w:sz w:val="22"/>
                <w:szCs w:val="22"/>
              </w:rPr>
              <w:t>, nell’apposita sezione denominata “Deliberazioni di Giunta, Decreti e Determine”.</w:t>
            </w:r>
          </w:p>
        </w:tc>
      </w:tr>
      <w:tr w:rsidR="009330B4" w:rsidRPr="00A8697B" w14:paraId="789E5169" w14:textId="77777777" w:rsidTr="008365EB">
        <w:tc>
          <w:tcPr>
            <w:tcW w:w="709" w:type="dxa"/>
          </w:tcPr>
          <w:p w14:paraId="3E1AFBFF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C423836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ATTI E DOCUMENTI DA ALLEGARE ALL'ISTANZA E </w:t>
            </w:r>
            <w:proofErr w:type="gramStart"/>
            <w:r w:rsidRPr="00A8697B">
              <w:rPr>
                <w:rFonts w:ascii="Arial" w:hAnsi="Arial" w:cs="Arial"/>
                <w:sz w:val="22"/>
                <w:szCs w:val="22"/>
              </w:rPr>
              <w:t xml:space="preserve">MODULISTICA </w:t>
            </w:r>
            <w:r w:rsidR="003E03C3" w:rsidRPr="00A869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97B">
              <w:rPr>
                <w:rFonts w:ascii="Arial" w:hAnsi="Arial" w:cs="Arial"/>
                <w:sz w:val="22"/>
                <w:szCs w:val="22"/>
              </w:rPr>
              <w:t>NECESSARIA</w:t>
            </w:r>
            <w:proofErr w:type="gramEnd"/>
            <w:r w:rsidRPr="00A8697B">
              <w:rPr>
                <w:rFonts w:ascii="Arial" w:hAnsi="Arial" w:cs="Arial"/>
                <w:sz w:val="22"/>
                <w:szCs w:val="22"/>
              </w:rPr>
              <w:t>, ANCHE AI SENSI DEL D. LGS. N. 222/2016 E RELATIVI PROVVEDIMENTI REGIONALI ATTUATIVI, COMPRESI I FAC-SIMILE PER LE AUTOCERTIFICAZIONI</w:t>
            </w:r>
          </w:p>
          <w:p w14:paraId="0373298A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40D5644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3EB36551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3429C96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D7DD6E6" w14:textId="77777777" w:rsidR="009330B4" w:rsidRPr="00A8697B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4FA9F612" w14:textId="77777777" w:rsidR="00A8697B" w:rsidRPr="00A8697B" w:rsidRDefault="00A8697B" w:rsidP="00D26A0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Ai fini del perfezionamento dell’istanza di finanziamento si rende necessario che il beneficiario renda disponibili i seguenti documenti:</w:t>
            </w:r>
          </w:p>
          <w:p w14:paraId="4651EA14" w14:textId="77777777" w:rsidR="00A8697B" w:rsidRPr="00A8697B" w:rsidRDefault="00A8697B" w:rsidP="00D26A0B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progettazione esecutiva e quadro economico dell’operazione formalmente approvato</w:t>
            </w:r>
          </w:p>
          <w:p w14:paraId="4F8DDD6D" w14:textId="77777777" w:rsidR="00A8697B" w:rsidRPr="00A8697B" w:rsidRDefault="00A8697B" w:rsidP="00D26A0B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atto di nomina del RUP</w:t>
            </w:r>
          </w:p>
          <w:p w14:paraId="10748879" w14:textId="77777777" w:rsidR="00A8697B" w:rsidRPr="00A8697B" w:rsidRDefault="00A8697B" w:rsidP="00D26A0B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cronoprogramma dell’operazione</w:t>
            </w:r>
          </w:p>
          <w:p w14:paraId="61A456AF" w14:textId="77777777" w:rsidR="009330B4" w:rsidRPr="00A8697B" w:rsidRDefault="00A8697B" w:rsidP="00D26A0B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scheda CUP relativa all’operazione</w:t>
            </w:r>
          </w:p>
        </w:tc>
      </w:tr>
      <w:tr w:rsidR="009330B4" w:rsidRPr="00A8697B" w14:paraId="35964111" w14:textId="77777777" w:rsidTr="008365EB">
        <w:tc>
          <w:tcPr>
            <w:tcW w:w="709" w:type="dxa"/>
          </w:tcPr>
          <w:p w14:paraId="6CA6212D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C53BB40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343627C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B261FE3" w14:textId="77777777" w:rsidR="009330B4" w:rsidRPr="00A8697B" w:rsidRDefault="009330B4" w:rsidP="00F43E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00A23696" w14:textId="77777777" w:rsidR="00F27C9E" w:rsidRPr="00A8697B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STAFF Tecnico – Operativo Infrazioni Comunitarie e Piano Regionale dei Rifiuti 50</w:t>
            </w:r>
            <w:r w:rsidR="00AE59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97B">
              <w:rPr>
                <w:rFonts w:ascii="Arial" w:hAnsi="Arial" w:cs="Arial"/>
                <w:sz w:val="22"/>
                <w:szCs w:val="22"/>
              </w:rPr>
              <w:t>17</w:t>
            </w:r>
            <w:r w:rsidR="00AE59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97B">
              <w:rPr>
                <w:rFonts w:ascii="Arial" w:hAnsi="Arial" w:cs="Arial"/>
                <w:sz w:val="22"/>
                <w:szCs w:val="22"/>
              </w:rPr>
              <w:t>91- Via Roberto Bracco, 15 A, 80133 Napoli</w:t>
            </w:r>
          </w:p>
          <w:p w14:paraId="6A14DA5A" w14:textId="77777777" w:rsidR="00F27C9E" w:rsidRPr="00A8697B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Tel. 081/7963002 –</w:t>
            </w:r>
            <w:r w:rsidR="00530A36" w:rsidRPr="00A8697B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081/7963</w:t>
            </w:r>
            <w:r w:rsidR="00A8697B" w:rsidRPr="00A8697B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124</w:t>
            </w:r>
          </w:p>
          <w:p w14:paraId="3D09A1F0" w14:textId="77777777" w:rsidR="009330B4" w:rsidRPr="00F43ECC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3" w:history="1">
              <w:r w:rsidR="00D26A0B" w:rsidRPr="009F6365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staff.501791@pec.regione.campania.it</w:t>
              </w:r>
            </w:hyperlink>
          </w:p>
        </w:tc>
      </w:tr>
      <w:tr w:rsidR="009330B4" w:rsidRPr="00A8697B" w14:paraId="77837C34" w14:textId="77777777" w:rsidTr="008365EB">
        <w:tc>
          <w:tcPr>
            <w:tcW w:w="709" w:type="dxa"/>
          </w:tcPr>
          <w:p w14:paraId="604AEA96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35166C49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84506A9" w14:textId="77777777" w:rsidR="009330B4" w:rsidRPr="00A8697B" w:rsidRDefault="009330B4" w:rsidP="00F43E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767" w:type="dxa"/>
            <w:vAlign w:val="center"/>
          </w:tcPr>
          <w:p w14:paraId="4B1D4893" w14:textId="77777777" w:rsidR="00530A36" w:rsidRPr="00A8697B" w:rsidRDefault="00BD2788" w:rsidP="00D26A0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Istanza v</w:t>
            </w:r>
            <w:r w:rsidR="00530A36" w:rsidRPr="00A8697B">
              <w:rPr>
                <w:rFonts w:ascii="Arial" w:hAnsi="Arial" w:cs="Arial"/>
                <w:sz w:val="22"/>
                <w:szCs w:val="22"/>
              </w:rPr>
              <w:t xml:space="preserve">ia </w:t>
            </w:r>
            <w:proofErr w:type="gramStart"/>
            <w:r w:rsidR="00530A36" w:rsidRPr="00A8697B">
              <w:rPr>
                <w:rFonts w:ascii="Arial" w:hAnsi="Arial" w:cs="Arial"/>
                <w:sz w:val="22"/>
                <w:szCs w:val="22"/>
              </w:rPr>
              <w:t xml:space="preserve">Pec </w:t>
            </w:r>
            <w:r w:rsidR="00D66F49" w:rsidRPr="00A8697B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="00D66F49" w:rsidRPr="00A8697B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="00D66F49" w:rsidRPr="00A8697B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</w:p>
          <w:p w14:paraId="3D761EAC" w14:textId="77777777" w:rsidR="009330B4" w:rsidRPr="00A8697B" w:rsidRDefault="00F27C9E" w:rsidP="00D26A0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</w:t>
            </w:r>
            <w:r w:rsidR="00A8697B"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124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Napoli</w:t>
            </w:r>
          </w:p>
        </w:tc>
      </w:tr>
      <w:tr w:rsidR="009330B4" w:rsidRPr="00A8697B" w14:paraId="6C6881E8" w14:textId="77777777" w:rsidTr="008365EB">
        <w:tc>
          <w:tcPr>
            <w:tcW w:w="709" w:type="dxa"/>
          </w:tcPr>
          <w:p w14:paraId="0A40E149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60F73E0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9DD47B8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491534AF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D930B6B" w14:textId="77777777" w:rsidR="009330B4" w:rsidRPr="00A8697B" w:rsidRDefault="009330B4" w:rsidP="00F43E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1D29ECA7" w14:textId="77777777" w:rsidR="00F27C9E" w:rsidRPr="00A8697B" w:rsidRDefault="00530A36" w:rsidP="00D26A0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Gli indirizzi di riferimento </w:t>
            </w:r>
            <w:r w:rsidR="006A0C41" w:rsidRPr="00A8697B">
              <w:rPr>
                <w:rFonts w:ascii="Arial" w:hAnsi="Arial" w:cs="Arial"/>
                <w:sz w:val="22"/>
                <w:szCs w:val="22"/>
              </w:rPr>
              <w:t>procedimentale (Convenzione e regolamentazione FSC 20</w:t>
            </w:r>
            <w:r w:rsidR="000E5C45">
              <w:rPr>
                <w:rFonts w:ascii="Arial" w:hAnsi="Arial" w:cs="Arial"/>
                <w:sz w:val="22"/>
                <w:szCs w:val="22"/>
              </w:rPr>
              <w:t>14</w:t>
            </w:r>
            <w:r w:rsidR="006A0C41" w:rsidRPr="00A8697B">
              <w:rPr>
                <w:rFonts w:ascii="Arial" w:hAnsi="Arial" w:cs="Arial"/>
                <w:sz w:val="22"/>
                <w:szCs w:val="22"/>
              </w:rPr>
              <w:t>/20</w:t>
            </w:r>
            <w:r w:rsidR="000E5C45">
              <w:rPr>
                <w:rFonts w:ascii="Arial" w:hAnsi="Arial" w:cs="Arial"/>
                <w:sz w:val="22"/>
                <w:szCs w:val="22"/>
              </w:rPr>
              <w:t>20</w:t>
            </w:r>
            <w:r w:rsidR="006A0C41" w:rsidRPr="00A8697B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>non stabiliscono termini puntuali per l</w:t>
            </w:r>
            <w:r w:rsidR="00C30340" w:rsidRPr="00A8697B">
              <w:rPr>
                <w:rFonts w:ascii="Arial" w:hAnsi="Arial" w:cs="Arial"/>
                <w:sz w:val="22"/>
                <w:szCs w:val="22"/>
              </w:rPr>
              <w:t>’attuazione dell’intervento e l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>o svolgimento del procedimento</w:t>
            </w:r>
            <w:r w:rsidR="00D66F49" w:rsidRPr="00A8697B">
              <w:rPr>
                <w:rFonts w:ascii="Arial" w:hAnsi="Arial" w:cs="Arial"/>
                <w:sz w:val="22"/>
                <w:szCs w:val="22"/>
              </w:rPr>
              <w:t>.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 xml:space="preserve"> Le singole operazioni oggetto di ammissione a finanziamento sono vincolate ai termini indicati</w:t>
            </w:r>
            <w:r w:rsidR="00734A24" w:rsidRPr="00A8697B">
              <w:rPr>
                <w:rFonts w:ascii="Arial" w:hAnsi="Arial" w:cs="Arial"/>
                <w:sz w:val="22"/>
                <w:szCs w:val="22"/>
              </w:rPr>
              <w:t xml:space="preserve"> nel </w:t>
            </w:r>
            <w:r w:rsidR="00D66F49" w:rsidRPr="00A8697B">
              <w:rPr>
                <w:rFonts w:ascii="Arial" w:hAnsi="Arial" w:cs="Arial"/>
                <w:sz w:val="22"/>
                <w:szCs w:val="22"/>
              </w:rPr>
              <w:t xml:space="preserve">relativo </w:t>
            </w:r>
            <w:r w:rsidR="00734A24" w:rsidRPr="00A8697B">
              <w:rPr>
                <w:rFonts w:ascii="Arial" w:hAnsi="Arial" w:cs="Arial"/>
                <w:sz w:val="22"/>
                <w:szCs w:val="22"/>
              </w:rPr>
              <w:t>cronoprogramma</w:t>
            </w:r>
            <w:r w:rsidRPr="00A8697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1548" w:rsidRPr="00A8697B" w14:paraId="0F2508FF" w14:textId="77777777" w:rsidTr="008365EB">
        <w:tc>
          <w:tcPr>
            <w:tcW w:w="709" w:type="dxa"/>
          </w:tcPr>
          <w:p w14:paraId="004C86D0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2DC91D6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OGNI ALTRO TERMINE PROCEDIMENTALE RILEVANTE, CON </w:t>
            </w:r>
            <w:r w:rsidRPr="00A8697B">
              <w:rPr>
                <w:rFonts w:ascii="Arial" w:hAnsi="Arial" w:cs="Arial"/>
                <w:sz w:val="22"/>
                <w:szCs w:val="22"/>
              </w:rPr>
              <w:lastRenderedPageBreak/>
              <w:t>INDICAZIONE DELLA NORMA CHE LO PREVEDE</w:t>
            </w:r>
          </w:p>
          <w:p w14:paraId="32D38208" w14:textId="77777777" w:rsidR="004C1548" w:rsidRPr="00A8697B" w:rsidRDefault="004C1548" w:rsidP="00F43E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767" w:type="dxa"/>
            <w:vAlign w:val="center"/>
          </w:tcPr>
          <w:p w14:paraId="77303318" w14:textId="77777777" w:rsidR="004C1548" w:rsidRPr="00A8697B" w:rsidRDefault="00734A24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lastRenderedPageBreak/>
              <w:t>NON PREVISTO</w:t>
            </w:r>
            <w:r w:rsidR="00214A51" w:rsidRPr="00A8697B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A8697B" w14:paraId="26FC970B" w14:textId="77777777" w:rsidTr="008365EB">
        <w:tc>
          <w:tcPr>
            <w:tcW w:w="709" w:type="dxa"/>
          </w:tcPr>
          <w:p w14:paraId="1AD6DA0F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F782680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7F69C70D" w14:textId="77777777" w:rsidR="009330B4" w:rsidRPr="00A8697B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180633AA" w14:textId="77777777" w:rsidR="009330B4" w:rsidRPr="00A8697B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0F8B0A3" w14:textId="77777777" w:rsidR="009330B4" w:rsidRPr="00A8697B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1F9D39AE" w14:textId="77777777" w:rsidR="009330B4" w:rsidRPr="00A8697B" w:rsidRDefault="009330B4" w:rsidP="00F43E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767" w:type="dxa"/>
            <w:vAlign w:val="center"/>
          </w:tcPr>
          <w:p w14:paraId="6DBA813B" w14:textId="77777777" w:rsidR="009330B4" w:rsidRPr="00A8697B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A8697B" w14:paraId="7DF7A7DC" w14:textId="77777777" w:rsidTr="008365EB">
        <w:tc>
          <w:tcPr>
            <w:tcW w:w="709" w:type="dxa"/>
          </w:tcPr>
          <w:p w14:paraId="433B35F8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192550B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75D55AB0" w14:textId="77777777" w:rsidR="009330B4" w:rsidRPr="00A8697B" w:rsidRDefault="009330B4" w:rsidP="00F43E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767" w:type="dxa"/>
            <w:vAlign w:val="center"/>
          </w:tcPr>
          <w:p w14:paraId="15050E06" w14:textId="77777777" w:rsidR="009330B4" w:rsidRPr="00A8697B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A8697B" w14:paraId="09E665AD" w14:textId="77777777" w:rsidTr="008365EB">
        <w:tc>
          <w:tcPr>
            <w:tcW w:w="709" w:type="dxa"/>
          </w:tcPr>
          <w:p w14:paraId="20EF9F28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3B97B4E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DBC148A" w14:textId="77777777" w:rsidR="004C1548" w:rsidRPr="00A8697B" w:rsidRDefault="004C1548" w:rsidP="00F43E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767" w:type="dxa"/>
            <w:vAlign w:val="center"/>
          </w:tcPr>
          <w:p w14:paraId="536CA442" w14:textId="77777777" w:rsidR="004C1548" w:rsidRPr="00A8697B" w:rsidRDefault="00734A24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Ricorso al Tribunale Amministrativo Regionale TAR Campania</w:t>
            </w:r>
          </w:p>
        </w:tc>
      </w:tr>
      <w:tr w:rsidR="004C1548" w:rsidRPr="00A8697B" w14:paraId="2A21287B" w14:textId="77777777" w:rsidTr="008365EB">
        <w:tc>
          <w:tcPr>
            <w:tcW w:w="709" w:type="dxa"/>
          </w:tcPr>
          <w:p w14:paraId="66D74E53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CE4B3FF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1CDA226B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767222F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7" w:type="dxa"/>
            <w:vAlign w:val="center"/>
          </w:tcPr>
          <w:p w14:paraId="4A975192" w14:textId="77777777" w:rsidR="004C1548" w:rsidRPr="00A8697B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A8697B" w14:paraId="1601BE75" w14:textId="77777777" w:rsidTr="008365EB">
        <w:tc>
          <w:tcPr>
            <w:tcW w:w="709" w:type="dxa"/>
          </w:tcPr>
          <w:p w14:paraId="551AB360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C6048A8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14D04C9F" w14:textId="77777777" w:rsidR="004C1548" w:rsidRPr="00A8697B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16181F58" w14:textId="77777777" w:rsidR="004C1548" w:rsidRPr="00A8697B" w:rsidRDefault="004C1548" w:rsidP="00F43E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3677338F" w14:textId="77777777" w:rsidR="004C1548" w:rsidRPr="00A8697B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A8697B" w14:paraId="0A8D38BE" w14:textId="77777777" w:rsidTr="008365EB">
        <w:tc>
          <w:tcPr>
            <w:tcW w:w="709" w:type="dxa"/>
          </w:tcPr>
          <w:p w14:paraId="5BF4493F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45AADF50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NOMINATIVO</w:t>
            </w: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ISTITUZIONALE DEL SOGGETTO CUI È ATTRIBUITO IL POTERE SOSTITUTIVO, IN CASO DI INERZIA DEL RESPONSABILE NELL'ADOZIONE DEL PROVVEDIMENTO </w:t>
            </w: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FINALE, NONCHÉ MODALITÀ PER ATTIVARE TALE POTERE</w:t>
            </w:r>
          </w:p>
          <w:p w14:paraId="4745C958" w14:textId="77777777" w:rsidR="009330B4" w:rsidRPr="00A8697B" w:rsidRDefault="009330B4" w:rsidP="00F43E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767" w:type="dxa"/>
            <w:vAlign w:val="center"/>
          </w:tcPr>
          <w:p w14:paraId="5B4A012B" w14:textId="77777777" w:rsidR="00683E8D" w:rsidRDefault="00683E8D" w:rsidP="00683E8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L’Autorità di Gestione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AdG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), è il soggetto responsabile della gestione e attuazione complessiva del programma di investimento FSC. Tra i vari compiti ad essa attribuiti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esercita, nei casi di persistente ritardo,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lastRenderedPageBreak/>
              <w:t xml:space="preserve">inerzia o inadempimento dei Responsabili di Attuazione, i poteri sostitutivi in conformità con quanto previsto dall’ordinamento vigente. </w:t>
            </w:r>
          </w:p>
          <w:p w14:paraId="411BC469" w14:textId="77777777" w:rsidR="00683E8D" w:rsidRDefault="00683E8D" w:rsidP="00683E8D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Dott.ssa Maria Somma, Direttore Generale Autorità di Gestione FSE e FSC - PEC: 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dg.01@pec.regione.campania.it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6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adg.fsc@pec.regione.campania.it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- E-mail:   </w:t>
            </w:r>
            <w:hyperlink r:id="rId17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dg.01@regione.campania.it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hyperlink r:id="rId18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adg.fse@regione.campania.it</w:t>
              </w:r>
            </w:hyperlink>
          </w:p>
          <w:p w14:paraId="614AB84C" w14:textId="77777777" w:rsidR="00070F85" w:rsidRPr="00A8697B" w:rsidRDefault="00683E8D" w:rsidP="00683E8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Via S. Lucia, 81 - 80132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Napoli ;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Tel. 081.7962812 –2907 – 2354.</w:t>
            </w:r>
          </w:p>
        </w:tc>
      </w:tr>
      <w:tr w:rsidR="009330B4" w:rsidRPr="00070F85" w14:paraId="390B3D46" w14:textId="77777777" w:rsidTr="008365EB">
        <w:tc>
          <w:tcPr>
            <w:tcW w:w="709" w:type="dxa"/>
          </w:tcPr>
          <w:p w14:paraId="66C69189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ACA1DAB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66E10E59" w14:textId="77777777" w:rsidR="009330B4" w:rsidRPr="00A8697B" w:rsidRDefault="009330B4" w:rsidP="00F43E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</w:tc>
        <w:tc>
          <w:tcPr>
            <w:tcW w:w="6767" w:type="dxa"/>
            <w:vAlign w:val="center"/>
          </w:tcPr>
          <w:p w14:paraId="62F05574" w14:textId="77777777" w:rsidR="00070F85" w:rsidRPr="00BB5A68" w:rsidRDefault="00070F85" w:rsidP="005C0BD0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A8697B" w:rsidRPr="00A8697B">
              <w:rPr>
                <w:rFonts w:ascii="Arial" w:hAnsi="Arial" w:cs="Arial"/>
                <w:sz w:val="22"/>
                <w:szCs w:val="22"/>
              </w:rPr>
              <w:t xml:space="preserve"> glossario, tuttavia </w:t>
            </w:r>
            <w:r w:rsidR="00BD2788" w:rsidRPr="00A8697B">
              <w:rPr>
                <w:rFonts w:ascii="Arial" w:hAnsi="Arial" w:cs="Arial"/>
                <w:sz w:val="22"/>
                <w:szCs w:val="22"/>
              </w:rPr>
              <w:t>s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i rimanda al </w:t>
            </w:r>
            <w:r w:rsidR="0094499F" w:rsidRPr="00A8697B">
              <w:rPr>
                <w:rFonts w:ascii="Arial" w:hAnsi="Arial" w:cs="Arial"/>
                <w:sz w:val="22"/>
                <w:szCs w:val="22"/>
              </w:rPr>
              <w:t xml:space="preserve">testo della Convenzione adottata in uno al decreto di ammissione </w:t>
            </w:r>
            <w:r w:rsidR="005C0BD0" w:rsidRPr="00A8697B">
              <w:rPr>
                <w:rFonts w:ascii="Arial" w:hAnsi="Arial" w:cs="Arial"/>
                <w:sz w:val="22"/>
                <w:szCs w:val="22"/>
              </w:rPr>
              <w:t xml:space="preserve">definitiva </w:t>
            </w:r>
            <w:r w:rsidR="00A8697B" w:rsidRPr="00A8697B">
              <w:rPr>
                <w:rFonts w:ascii="Arial" w:hAnsi="Arial" w:cs="Arial"/>
                <w:sz w:val="22"/>
                <w:szCs w:val="22"/>
              </w:rPr>
              <w:t xml:space="preserve">al finanziamento </w:t>
            </w:r>
            <w:r w:rsidR="00BD2788" w:rsidRPr="00A8697B">
              <w:rPr>
                <w:rFonts w:ascii="Arial" w:hAnsi="Arial" w:cs="Arial"/>
                <w:sz w:val="22"/>
                <w:szCs w:val="22"/>
              </w:rPr>
              <w:t xml:space="preserve">recante </w:t>
            </w:r>
            <w:r w:rsidR="0094499F" w:rsidRPr="00A8697B">
              <w:rPr>
                <w:rFonts w:ascii="Arial" w:hAnsi="Arial" w:cs="Arial"/>
                <w:sz w:val="22"/>
                <w:szCs w:val="22"/>
              </w:rPr>
              <w:t>c</w:t>
            </w:r>
            <w:r w:rsidR="00BD2788" w:rsidRPr="00A8697B">
              <w:rPr>
                <w:rFonts w:ascii="Arial" w:hAnsi="Arial" w:cs="Arial"/>
                <w:sz w:val="22"/>
                <w:szCs w:val="22"/>
              </w:rPr>
              <w:t>riteri e Indirizzi per l’attuazione delle opere finanziate</w:t>
            </w:r>
            <w:r w:rsidR="00D66F49" w:rsidRPr="00A8697B">
              <w:rPr>
                <w:rFonts w:ascii="Arial" w:hAnsi="Arial" w:cs="Arial"/>
                <w:sz w:val="22"/>
                <w:szCs w:val="22"/>
              </w:rPr>
              <w:t>.</w:t>
            </w:r>
            <w:r w:rsidR="00072D51">
              <w:rPr>
                <w:rFonts w:ascii="Arial" w:hAnsi="Arial" w:cs="Arial"/>
                <w:sz w:val="22"/>
                <w:szCs w:val="22"/>
              </w:rPr>
              <w:br/>
              <w:t xml:space="preserve">Si rimanda, altresì, al link dell’autorità di Gestione del FSC cui è rinvenibile ogni utile  documentazione manualistica </w:t>
            </w:r>
            <w:hyperlink r:id="rId19" w:history="1">
              <w:r w:rsidR="00072D51" w:rsidRPr="0042456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http://www.regione.campania.it/regione/it/la-tua-campania/fondo-di-sviluppo-e-coesione-2014-2020</w:t>
              </w:r>
            </w:hyperlink>
          </w:p>
        </w:tc>
      </w:tr>
    </w:tbl>
    <w:p w14:paraId="7F3A831D" w14:textId="77777777" w:rsidR="002F4499" w:rsidRPr="00070F85" w:rsidRDefault="002F4499" w:rsidP="00F43ECC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20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2149" w14:textId="77777777" w:rsidR="00F2169F" w:rsidRDefault="00F2169F" w:rsidP="004C1548">
      <w:r>
        <w:separator/>
      </w:r>
    </w:p>
  </w:endnote>
  <w:endnote w:type="continuationSeparator" w:id="0">
    <w:p w14:paraId="51B90A6B" w14:textId="77777777" w:rsidR="00F2169F" w:rsidRDefault="00F2169F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D0BC9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E8048C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0D1A1DC7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4EBE5" w14:textId="77777777" w:rsidR="00F2169F" w:rsidRDefault="00F2169F" w:rsidP="004C1548">
      <w:r>
        <w:separator/>
      </w:r>
    </w:p>
  </w:footnote>
  <w:footnote w:type="continuationSeparator" w:id="0">
    <w:p w14:paraId="27B2D90E" w14:textId="77777777" w:rsidR="00F2169F" w:rsidRDefault="00F2169F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56C6"/>
    <w:multiLevelType w:val="hybridMultilevel"/>
    <w:tmpl w:val="5DF866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9997924">
    <w:abstractNumId w:val="0"/>
  </w:num>
  <w:num w:numId="2" w16cid:durableId="923297778">
    <w:abstractNumId w:val="1"/>
  </w:num>
  <w:num w:numId="3" w16cid:durableId="1875920943">
    <w:abstractNumId w:val="2"/>
  </w:num>
  <w:num w:numId="4" w16cid:durableId="2017883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46540"/>
    <w:rsid w:val="00065AB5"/>
    <w:rsid w:val="00070F85"/>
    <w:rsid w:val="00072D51"/>
    <w:rsid w:val="00074B6A"/>
    <w:rsid w:val="000806D7"/>
    <w:rsid w:val="000A26EC"/>
    <w:rsid w:val="000B5AC5"/>
    <w:rsid w:val="000C5BC1"/>
    <w:rsid w:val="000E5C45"/>
    <w:rsid w:val="000F30A1"/>
    <w:rsid w:val="00107DE4"/>
    <w:rsid w:val="00166F59"/>
    <w:rsid w:val="00181157"/>
    <w:rsid w:val="00192076"/>
    <w:rsid w:val="00214A51"/>
    <w:rsid w:val="00230D21"/>
    <w:rsid w:val="002F4499"/>
    <w:rsid w:val="0032556E"/>
    <w:rsid w:val="0033529D"/>
    <w:rsid w:val="00351CF6"/>
    <w:rsid w:val="003B0E08"/>
    <w:rsid w:val="003E03C3"/>
    <w:rsid w:val="0040500A"/>
    <w:rsid w:val="00406A04"/>
    <w:rsid w:val="0048240E"/>
    <w:rsid w:val="0048323F"/>
    <w:rsid w:val="004B7079"/>
    <w:rsid w:val="004C1548"/>
    <w:rsid w:val="004C3A8A"/>
    <w:rsid w:val="00530A36"/>
    <w:rsid w:val="00574E98"/>
    <w:rsid w:val="00583F2F"/>
    <w:rsid w:val="00586E26"/>
    <w:rsid w:val="005C0BD0"/>
    <w:rsid w:val="00616BDA"/>
    <w:rsid w:val="0064374C"/>
    <w:rsid w:val="00683E8D"/>
    <w:rsid w:val="00683EC4"/>
    <w:rsid w:val="00685A85"/>
    <w:rsid w:val="006A0C41"/>
    <w:rsid w:val="006C7C2D"/>
    <w:rsid w:val="006E3424"/>
    <w:rsid w:val="006F0905"/>
    <w:rsid w:val="00714CD8"/>
    <w:rsid w:val="00734A24"/>
    <w:rsid w:val="007369EC"/>
    <w:rsid w:val="0076707D"/>
    <w:rsid w:val="007868CE"/>
    <w:rsid w:val="007D0BBA"/>
    <w:rsid w:val="008365EB"/>
    <w:rsid w:val="0085058B"/>
    <w:rsid w:val="008E09DC"/>
    <w:rsid w:val="00913FA9"/>
    <w:rsid w:val="009330B4"/>
    <w:rsid w:val="0094499F"/>
    <w:rsid w:val="00972971"/>
    <w:rsid w:val="00975552"/>
    <w:rsid w:val="00986B79"/>
    <w:rsid w:val="009E1525"/>
    <w:rsid w:val="00A07B4D"/>
    <w:rsid w:val="00A17F18"/>
    <w:rsid w:val="00A4679A"/>
    <w:rsid w:val="00A51252"/>
    <w:rsid w:val="00A742DE"/>
    <w:rsid w:val="00A7600E"/>
    <w:rsid w:val="00A8697B"/>
    <w:rsid w:val="00A930A7"/>
    <w:rsid w:val="00AE4CB1"/>
    <w:rsid w:val="00AE59C1"/>
    <w:rsid w:val="00B04F75"/>
    <w:rsid w:val="00B106B6"/>
    <w:rsid w:val="00B37328"/>
    <w:rsid w:val="00B83FFD"/>
    <w:rsid w:val="00BB5A68"/>
    <w:rsid w:val="00BD2788"/>
    <w:rsid w:val="00BE7A51"/>
    <w:rsid w:val="00BF3566"/>
    <w:rsid w:val="00C30340"/>
    <w:rsid w:val="00C60DD2"/>
    <w:rsid w:val="00CE1B76"/>
    <w:rsid w:val="00CF2A00"/>
    <w:rsid w:val="00D2629C"/>
    <w:rsid w:val="00D26A0B"/>
    <w:rsid w:val="00D66F49"/>
    <w:rsid w:val="00D81ED4"/>
    <w:rsid w:val="00D92A8D"/>
    <w:rsid w:val="00DA402B"/>
    <w:rsid w:val="00DC0F39"/>
    <w:rsid w:val="00DF1979"/>
    <w:rsid w:val="00E16FFE"/>
    <w:rsid w:val="00E602FF"/>
    <w:rsid w:val="00E8048C"/>
    <w:rsid w:val="00E90E6F"/>
    <w:rsid w:val="00EC3201"/>
    <w:rsid w:val="00F12D4A"/>
    <w:rsid w:val="00F2169F"/>
    <w:rsid w:val="00F27C9E"/>
    <w:rsid w:val="00F32388"/>
    <w:rsid w:val="00F36E26"/>
    <w:rsid w:val="00F43ECC"/>
    <w:rsid w:val="00FA3B14"/>
    <w:rsid w:val="00FA6E2B"/>
    <w:rsid w:val="00FD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BF72E4B"/>
  <w15:chartTrackingRefBased/>
  <w15:docId w15:val="{E9AF4FD0-7DAB-4A2B-8BC2-54F3249E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ello.barretta@regione.campania.it" TargetMode="External"/><Relationship Id="rId13" Type="http://schemas.openxmlformats.org/officeDocument/2006/relationships/hyperlink" Target="mailto:staff.501791@pec.regione.campania.it" TargetMode="External"/><Relationship Id="rId18" Type="http://schemas.openxmlformats.org/officeDocument/2006/relationships/hyperlink" Target="mailto:adg.fse@regione.campania.i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hyperlink" Target="http://www.regione.campania.it/regione/it/la-tua-campania/regione-casa-di-vetro" TargetMode="External"/><Relationship Id="rId17" Type="http://schemas.openxmlformats.org/officeDocument/2006/relationships/hyperlink" Target="mailto:dg.01@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adg.fsc@pec.regione.campania.it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campania.it/regione/it/amministrazione-trasparente-fy2n/sovvenzioni-contributi-sussidi-vantaggi-economici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g.01@pec.regione.campania.it" TargetMode="External"/><Relationship Id="rId10" Type="http://schemas.openxmlformats.org/officeDocument/2006/relationships/hyperlink" Target="mailto:andrea.catalano@regione.campania.it" TargetMode="External"/><Relationship Id="rId19" Type="http://schemas.openxmlformats.org/officeDocument/2006/relationships/hyperlink" Target="http://www.regione.campania.it/regione/it/la-tua-campania/fondo-di-sviluppo-e-coesione-2014-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1700@pec.regione.campania.it" TargetMode="External"/><Relationship Id="rId14" Type="http://schemas.openxmlformats.org/officeDocument/2006/relationships/hyperlink" Target="mailto:staff.501791@pec.regione.campania.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12285</CharactersWithSpaces>
  <SharedDoc>false</SharedDoc>
  <HLinks>
    <vt:vector size="78" baseType="variant">
      <vt:variant>
        <vt:i4>262172</vt:i4>
      </vt:variant>
      <vt:variant>
        <vt:i4>36</vt:i4>
      </vt:variant>
      <vt:variant>
        <vt:i4>0</vt:i4>
      </vt:variant>
      <vt:variant>
        <vt:i4>5</vt:i4>
      </vt:variant>
      <vt:variant>
        <vt:lpwstr>http://www.regione.campania.it/regione/it/la-tua-campania/fondo-di-sviluppo-e-coesione-2014-2020</vt:lpwstr>
      </vt:variant>
      <vt:variant>
        <vt:lpwstr/>
      </vt:variant>
      <vt:variant>
        <vt:i4>2359304</vt:i4>
      </vt:variant>
      <vt:variant>
        <vt:i4>33</vt:i4>
      </vt:variant>
      <vt:variant>
        <vt:i4>0</vt:i4>
      </vt:variant>
      <vt:variant>
        <vt:i4>5</vt:i4>
      </vt:variant>
      <vt:variant>
        <vt:lpwstr>mailto:adg.fse@regione.campania.it</vt:lpwstr>
      </vt:variant>
      <vt:variant>
        <vt:lpwstr/>
      </vt:variant>
      <vt:variant>
        <vt:i4>5898342</vt:i4>
      </vt:variant>
      <vt:variant>
        <vt:i4>30</vt:i4>
      </vt:variant>
      <vt:variant>
        <vt:i4>0</vt:i4>
      </vt:variant>
      <vt:variant>
        <vt:i4>5</vt:i4>
      </vt:variant>
      <vt:variant>
        <vt:lpwstr>mailto:dg.01@regione.campania.it</vt:lpwstr>
      </vt:variant>
      <vt:variant>
        <vt:lpwstr/>
      </vt:variant>
      <vt:variant>
        <vt:i4>3211331</vt:i4>
      </vt:variant>
      <vt:variant>
        <vt:i4>27</vt:i4>
      </vt:variant>
      <vt:variant>
        <vt:i4>0</vt:i4>
      </vt:variant>
      <vt:variant>
        <vt:i4>5</vt:i4>
      </vt:variant>
      <vt:variant>
        <vt:lpwstr>mailto:adg.fsc@pec.regione.campania.it</vt:lpwstr>
      </vt:variant>
      <vt:variant>
        <vt:lpwstr/>
      </vt:variant>
      <vt:variant>
        <vt:i4>4784173</vt:i4>
      </vt:variant>
      <vt:variant>
        <vt:i4>24</vt:i4>
      </vt:variant>
      <vt:variant>
        <vt:i4>0</vt:i4>
      </vt:variant>
      <vt:variant>
        <vt:i4>5</vt:i4>
      </vt:variant>
      <vt:variant>
        <vt:lpwstr>mailto:dg.01@pec.regione.campania.it</vt:lpwstr>
      </vt:variant>
      <vt:variant>
        <vt:lpwstr/>
      </vt:variant>
      <vt:variant>
        <vt:i4>1769572</vt:i4>
      </vt:variant>
      <vt:variant>
        <vt:i4>21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1769572</vt:i4>
      </vt:variant>
      <vt:variant>
        <vt:i4>18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8192051</vt:i4>
      </vt:variant>
      <vt:variant>
        <vt:i4>15</vt:i4>
      </vt:variant>
      <vt:variant>
        <vt:i4>0</vt:i4>
      </vt:variant>
      <vt:variant>
        <vt:i4>5</vt:i4>
      </vt:variant>
      <vt:variant>
        <vt:lpwstr>http://www.regione.campania.it/regione/it/la-tua-campania/regione-casa-di-vetro</vt:lpwstr>
      </vt:variant>
      <vt:variant>
        <vt:lpwstr/>
      </vt:variant>
      <vt:variant>
        <vt:i4>4259850</vt:i4>
      </vt:variant>
      <vt:variant>
        <vt:i4>12</vt:i4>
      </vt:variant>
      <vt:variant>
        <vt:i4>0</vt:i4>
      </vt:variant>
      <vt:variant>
        <vt:i4>5</vt:i4>
      </vt:variant>
      <vt:variant>
        <vt:lpwstr>http://www.regione.campania.it/regione/it/amministrazione-trasparente-fy2n/sovvenzioni-contributi-sussidi-vantaggi-economici</vt:lpwstr>
      </vt:variant>
      <vt:variant>
        <vt:lpwstr/>
      </vt:variant>
      <vt:variant>
        <vt:i4>6357081</vt:i4>
      </vt:variant>
      <vt:variant>
        <vt:i4>9</vt:i4>
      </vt:variant>
      <vt:variant>
        <vt:i4>0</vt:i4>
      </vt:variant>
      <vt:variant>
        <vt:i4>5</vt:i4>
      </vt:variant>
      <vt:variant>
        <vt:lpwstr>mailto:andrea.catalano@regione.campania.it</vt:lpwstr>
      </vt:variant>
      <vt:variant>
        <vt:lpwstr/>
      </vt:variant>
      <vt:variant>
        <vt:i4>5177385</vt:i4>
      </vt:variant>
      <vt:variant>
        <vt:i4>6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6291549</vt:i4>
      </vt:variant>
      <vt:variant>
        <vt:i4>3</vt:i4>
      </vt:variant>
      <vt:variant>
        <vt:i4>0</vt:i4>
      </vt:variant>
      <vt:variant>
        <vt:i4>5</vt:i4>
      </vt:variant>
      <vt:variant>
        <vt:lpwstr>mailto:antonello.barretta@regione.campania.it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2</cp:revision>
  <cp:lastPrinted>1601-01-01T00:00:00Z</cp:lastPrinted>
  <dcterms:created xsi:type="dcterms:W3CDTF">2024-09-12T16:30:00Z</dcterms:created>
  <dcterms:modified xsi:type="dcterms:W3CDTF">2024-09-12T16:30:00Z</dcterms:modified>
</cp:coreProperties>
</file>