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99E538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56718E1E" w14:textId="77777777" w:rsidTr="00926FB8">
        <w:tc>
          <w:tcPr>
            <w:tcW w:w="13825" w:type="dxa"/>
            <w:gridSpan w:val="3"/>
          </w:tcPr>
          <w:p w14:paraId="3C2E5F92" w14:textId="77777777" w:rsidR="00214138" w:rsidRPr="00C5052E" w:rsidRDefault="00214138" w:rsidP="00214138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5A153A94" w14:textId="77777777" w:rsidR="00214138" w:rsidRPr="00C5052E" w:rsidRDefault="00214138" w:rsidP="00214138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6B3E773F" w14:textId="7B753819" w:rsidR="00A4679A" w:rsidRPr="00F32388" w:rsidRDefault="00214138" w:rsidP="002141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</w:p>
        </w:tc>
      </w:tr>
      <w:tr w:rsidR="00A4679A" w:rsidRPr="00972971" w14:paraId="2CAC8B9E" w14:textId="77777777" w:rsidTr="00926FB8">
        <w:tc>
          <w:tcPr>
            <w:tcW w:w="709" w:type="dxa"/>
          </w:tcPr>
          <w:p w14:paraId="5D65F3D5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B48118A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06D5A8D6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4DBADB14" w14:textId="77777777" w:rsidR="00A4679A" w:rsidRPr="00972971" w:rsidRDefault="00A4679A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14737718" w14:textId="77777777" w:rsidR="00A4679A" w:rsidRPr="00F32388" w:rsidRDefault="0002023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Attività di </w:t>
            </w:r>
            <w:r w:rsidR="004B2359">
              <w:rPr>
                <w:rFonts w:ascii="Arial" w:hAnsi="Arial" w:cs="Arial"/>
                <w:sz w:val="22"/>
                <w:szCs w:val="22"/>
              </w:rPr>
              <w:t>aggiornamento/revisione</w:t>
            </w:r>
            <w:r>
              <w:rPr>
                <w:rFonts w:ascii="Arial" w:hAnsi="Arial" w:cs="Arial"/>
                <w:sz w:val="22"/>
                <w:szCs w:val="22"/>
              </w:rPr>
              <w:t xml:space="preserve"> del Piano regionale per la Gestione dei Rifiuti </w:t>
            </w:r>
            <w:r w:rsidR="004B2359">
              <w:rPr>
                <w:rFonts w:ascii="Arial" w:hAnsi="Arial" w:cs="Arial"/>
                <w:sz w:val="22"/>
                <w:szCs w:val="22"/>
              </w:rPr>
              <w:t>Speciali</w:t>
            </w:r>
            <w:r>
              <w:rPr>
                <w:rFonts w:ascii="Arial" w:hAnsi="Arial" w:cs="Arial"/>
                <w:sz w:val="22"/>
                <w:szCs w:val="22"/>
              </w:rPr>
              <w:t xml:space="preserve"> della Campania</w:t>
            </w:r>
          </w:p>
        </w:tc>
      </w:tr>
      <w:tr w:rsidR="009330B4" w:rsidRPr="00972971" w14:paraId="4468F0F1" w14:textId="77777777" w:rsidTr="00926FB8">
        <w:tc>
          <w:tcPr>
            <w:tcW w:w="709" w:type="dxa"/>
          </w:tcPr>
          <w:p w14:paraId="7274F334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BA304A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07F76B8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9E56F4A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1EB41C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2947253E" w14:textId="77777777" w:rsidR="009330B4" w:rsidRPr="00972971" w:rsidRDefault="009330B4" w:rsidP="00FE39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296C8CF9" w14:textId="77777777" w:rsidR="00020231" w:rsidRPr="00F32388" w:rsidRDefault="0002023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Attività di </w:t>
            </w:r>
            <w:r w:rsidR="004B2359">
              <w:rPr>
                <w:rFonts w:ascii="Arial" w:hAnsi="Arial" w:cs="Arial"/>
                <w:sz w:val="22"/>
                <w:szCs w:val="22"/>
              </w:rPr>
              <w:t xml:space="preserve">aggiornamento e revisione </w:t>
            </w:r>
            <w:r>
              <w:rPr>
                <w:rFonts w:ascii="Arial" w:hAnsi="Arial" w:cs="Arial"/>
                <w:sz w:val="22"/>
                <w:szCs w:val="22"/>
              </w:rPr>
              <w:t xml:space="preserve">dello strumento di pianificazione regionale per la gestione dei Rifiuti </w:t>
            </w:r>
            <w:r w:rsidR="004B2359">
              <w:rPr>
                <w:rFonts w:ascii="Arial" w:hAnsi="Arial" w:cs="Arial"/>
                <w:sz w:val="22"/>
                <w:szCs w:val="22"/>
              </w:rPr>
              <w:t>Speciali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B2359">
              <w:rPr>
                <w:rFonts w:ascii="Arial" w:hAnsi="Arial" w:cs="Arial"/>
                <w:sz w:val="22"/>
                <w:szCs w:val="22"/>
              </w:rPr>
              <w:t>avviata con DGR 124/2019</w:t>
            </w:r>
            <w:r>
              <w:rPr>
                <w:rFonts w:ascii="Arial" w:hAnsi="Arial" w:cs="Arial"/>
                <w:sz w:val="22"/>
                <w:szCs w:val="22"/>
              </w:rPr>
              <w:t xml:space="preserve">, nell’ottica del raggiungimento </w:t>
            </w:r>
            <w:r w:rsidR="004B2359">
              <w:rPr>
                <w:rFonts w:ascii="Arial" w:hAnsi="Arial" w:cs="Arial"/>
                <w:sz w:val="22"/>
                <w:szCs w:val="22"/>
              </w:rPr>
              <w:t>degli obiettivi dell’economia circolare e di regolazione del libero mercato nella gestione dei rifiuti da attività produttive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972971" w14:paraId="4FA42CC6" w14:textId="77777777" w:rsidTr="00926FB8">
        <w:trPr>
          <w:trHeight w:val="1380"/>
        </w:trPr>
        <w:tc>
          <w:tcPr>
            <w:tcW w:w="709" w:type="dxa"/>
          </w:tcPr>
          <w:p w14:paraId="08F0282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0040B7B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DD4714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6A0B4295" w14:textId="77777777" w:rsidR="009330B4" w:rsidRPr="00972971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vAlign w:val="center"/>
          </w:tcPr>
          <w:p w14:paraId="4D062B6A" w14:textId="77777777" w:rsidR="009330B4" w:rsidRDefault="00F32388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50 17</w:t>
            </w:r>
            <w:r w:rsidR="0002023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91</w:t>
            </w:r>
          </w:p>
          <w:p w14:paraId="00BC60D2" w14:textId="77777777" w:rsidR="00FE395B" w:rsidRDefault="00F32388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el. 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3002 –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</w:t>
            </w: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</w:t>
            </w:r>
            <w:r w:rsidR="00926FB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250</w:t>
            </w:r>
          </w:p>
          <w:p w14:paraId="55DB0D90" w14:textId="77777777" w:rsidR="00F32388" w:rsidRPr="00F32388" w:rsidRDefault="00F32388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</w:t>
            </w:r>
            <w:hyperlink r:id="rId7" w:history="1">
              <w:r w:rsidR="00616BDA" w:rsidRPr="003671D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020231" w14:paraId="121FD354" w14:textId="77777777" w:rsidTr="00926FB8">
        <w:tc>
          <w:tcPr>
            <w:tcW w:w="709" w:type="dxa"/>
          </w:tcPr>
          <w:p w14:paraId="6856769A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5810E782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B8E3FD8" w14:textId="77777777" w:rsidR="009330B4" w:rsidRPr="00972971" w:rsidRDefault="009330B4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558" w:type="dxa"/>
            <w:vAlign w:val="center"/>
          </w:tcPr>
          <w:p w14:paraId="54AD298C" w14:textId="7E4BAA6C" w:rsidR="00683EC4" w:rsidRPr="00020231" w:rsidRDefault="00B962E2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ott.ssa Roberta Addrizza, </w:t>
            </w:r>
            <w:hyperlink r:id="rId8" w:history="1">
              <w:r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robertaa.addrizza@regione.campania.it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081/7963016; d</w:t>
            </w:r>
            <w:r>
              <w:rPr>
                <w:rFonts w:ascii="Arial" w:hAnsi="Arial" w:cs="Arial"/>
                <w:sz w:val="22"/>
                <w:szCs w:val="22"/>
              </w:rPr>
              <w:t xml:space="preserve">ott. Andrea Catalano, </w:t>
            </w:r>
            <w:hyperlink r:id="rId9" w:history="1">
              <w:r w:rsidRPr="004F19C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andrea.catalano@regione.campania.it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081/7963124; dott.ssa Isabella D’Ercole, </w:t>
            </w:r>
            <w:hyperlink r:id="rId10" w:history="1">
              <w:r w:rsidRPr="008B1E91">
                <w:rPr>
                  <w:rStyle w:val="Collegamentoipertestuale"/>
                </w:rPr>
                <w:t>isabella</w:t>
              </w:r>
              <w:r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.dercole@regione.campania.it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081/7963252; dott.ssa Francesca Grieco, </w:t>
            </w:r>
            <w:hyperlink r:id="rId11" w:history="1">
              <w:r w:rsidRPr="008B1E9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francesca.grieco@regione.campania.it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081/7963253; </w:t>
            </w:r>
            <w:r w:rsidR="0012608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Avv. Martha Napolitano, </w:t>
            </w:r>
            <w:hyperlink r:id="rId12" w:history="1">
              <w:r w:rsidR="007B3E7F" w:rsidRPr="00EA122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m</w:t>
              </w:r>
              <w:r w:rsidR="007B3E7F" w:rsidRPr="00EA122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artha</w:t>
              </w:r>
              <w:r w:rsidR="007B3E7F" w:rsidRPr="00EA122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.n</w:t>
              </w:r>
              <w:r w:rsidR="007B3E7F" w:rsidRPr="00EA122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apolitano@regione.campania.it</w:t>
              </w:r>
            </w:hyperlink>
            <w:r w:rsidR="007B3E7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972971" w14:paraId="43854F8D" w14:textId="77777777" w:rsidTr="00926FB8">
        <w:tc>
          <w:tcPr>
            <w:tcW w:w="709" w:type="dxa"/>
          </w:tcPr>
          <w:p w14:paraId="69FAED78" w14:textId="77777777" w:rsidR="009330B4" w:rsidRPr="0002023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5A74F8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45BD97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62B1A707" w14:textId="77777777" w:rsidR="009330B4" w:rsidRPr="00972971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vAlign w:val="center"/>
          </w:tcPr>
          <w:p w14:paraId="5461B5B9" w14:textId="77777777" w:rsidR="00616BDA" w:rsidRPr="00616BDA" w:rsidRDefault="00C8370B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Vedi sopra</w:t>
            </w:r>
          </w:p>
        </w:tc>
      </w:tr>
      <w:tr w:rsidR="009330B4" w:rsidRPr="00616BDA" w14:paraId="69C6F651" w14:textId="77777777" w:rsidTr="00926FB8">
        <w:tc>
          <w:tcPr>
            <w:tcW w:w="709" w:type="dxa"/>
          </w:tcPr>
          <w:p w14:paraId="6C49A9CA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10394D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617273B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7ECF2639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BFA4F9E" w14:textId="77777777" w:rsidR="009330B4" w:rsidRPr="00FE395B" w:rsidRDefault="009330B4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vAlign w:val="center"/>
          </w:tcPr>
          <w:p w14:paraId="7CCD446D" w14:textId="77777777" w:rsidR="009330B4" w:rsidRPr="00616BDA" w:rsidRDefault="0002023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DLgs 152/2006 e ss.mm.ii. Testo Unico Ambientale</w:t>
            </w:r>
          </w:p>
        </w:tc>
      </w:tr>
      <w:tr w:rsidR="009330B4" w:rsidRPr="00683EC4" w14:paraId="6DF35E5E" w14:textId="77777777" w:rsidTr="00926FB8">
        <w:trPr>
          <w:trHeight w:val="1059"/>
        </w:trPr>
        <w:tc>
          <w:tcPr>
            <w:tcW w:w="709" w:type="dxa"/>
          </w:tcPr>
          <w:p w14:paraId="10E470D9" w14:textId="77777777" w:rsidR="009330B4" w:rsidRPr="00616BDA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6C9EC22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B7489C7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30D65E54" w14:textId="77777777" w:rsidR="009330B4" w:rsidRPr="000806D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AED777C" w14:textId="77777777" w:rsidR="009330B4" w:rsidRPr="00070F85" w:rsidRDefault="009330B4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06D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vAlign w:val="center"/>
          </w:tcPr>
          <w:p w14:paraId="730DA803" w14:textId="77777777" w:rsidR="009330B4" w:rsidRPr="000806D7" w:rsidRDefault="0002023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AA725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AA725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14/2016 e ss.mm.ii. </w:t>
            </w:r>
          </w:p>
        </w:tc>
      </w:tr>
      <w:tr w:rsidR="009330B4" w:rsidRPr="00986B79" w14:paraId="487B6139" w14:textId="77777777" w:rsidTr="00926FB8">
        <w:trPr>
          <w:trHeight w:val="1059"/>
        </w:trPr>
        <w:tc>
          <w:tcPr>
            <w:tcW w:w="709" w:type="dxa"/>
          </w:tcPr>
          <w:p w14:paraId="2C782FEA" w14:textId="77777777" w:rsidR="009330B4" w:rsidRPr="00683EC4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9D2EFEA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4C4A978F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4A52196" w14:textId="77777777" w:rsidR="009330B4" w:rsidRPr="00972971" w:rsidRDefault="009330B4" w:rsidP="00FE39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</w:tc>
        <w:tc>
          <w:tcPr>
            <w:tcW w:w="6558" w:type="dxa"/>
            <w:vAlign w:val="center"/>
          </w:tcPr>
          <w:p w14:paraId="2E067320" w14:textId="77777777" w:rsidR="00986B79" w:rsidRPr="00986B79" w:rsidRDefault="0002023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L’effettiva attività di </w:t>
            </w:r>
            <w:r w:rsidR="004B2359">
              <w:rPr>
                <w:rFonts w:ascii="Arial" w:hAnsi="Arial" w:cs="Arial"/>
                <w:sz w:val="22"/>
                <w:szCs w:val="22"/>
              </w:rPr>
              <w:t>redazione del Piano, accompagnata dalla contestuale attività di valutazione ambientale strategica (VAS)</w:t>
            </w:r>
            <w:r>
              <w:rPr>
                <w:rFonts w:ascii="Arial" w:hAnsi="Arial" w:cs="Arial"/>
                <w:sz w:val="22"/>
                <w:szCs w:val="22"/>
              </w:rPr>
              <w:t xml:space="preserve"> viene svolta attraverso un apposito Gruppo </w:t>
            </w:r>
            <w:r w:rsidR="004B2359">
              <w:rPr>
                <w:rFonts w:ascii="Arial" w:hAnsi="Arial" w:cs="Arial"/>
                <w:sz w:val="22"/>
                <w:szCs w:val="22"/>
              </w:rPr>
              <w:t>Centrale di Coordinamento</w:t>
            </w:r>
            <w:r w:rsidR="00354283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2359">
              <w:rPr>
                <w:rFonts w:ascii="Arial" w:hAnsi="Arial" w:cs="Arial"/>
                <w:sz w:val="22"/>
                <w:szCs w:val="22"/>
              </w:rPr>
              <w:t>individuato</w:t>
            </w:r>
            <w:r>
              <w:rPr>
                <w:rFonts w:ascii="Arial" w:hAnsi="Arial" w:cs="Arial"/>
                <w:sz w:val="22"/>
                <w:szCs w:val="22"/>
              </w:rPr>
              <w:t xml:space="preserve"> con D</w:t>
            </w:r>
            <w:r w:rsidR="004B2359">
              <w:rPr>
                <w:rFonts w:ascii="Arial" w:hAnsi="Arial" w:cs="Arial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 xml:space="preserve"> n. </w:t>
            </w:r>
            <w:r w:rsidR="004B2359">
              <w:rPr>
                <w:rFonts w:ascii="Arial" w:hAnsi="Arial" w:cs="Arial"/>
                <w:sz w:val="22"/>
                <w:szCs w:val="22"/>
              </w:rPr>
              <w:t>124</w:t>
            </w:r>
            <w:r>
              <w:rPr>
                <w:rFonts w:ascii="Arial" w:hAnsi="Arial" w:cs="Arial"/>
                <w:sz w:val="22"/>
                <w:szCs w:val="22"/>
              </w:rPr>
              <w:t xml:space="preserve"> del 0</w:t>
            </w:r>
            <w:r w:rsidR="00943C20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/0</w:t>
            </w:r>
            <w:r w:rsidR="004B2359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/201</w:t>
            </w:r>
            <w:r w:rsidR="004B2359">
              <w:rPr>
                <w:rFonts w:ascii="Arial" w:hAnsi="Arial" w:cs="Arial"/>
                <w:sz w:val="22"/>
                <w:szCs w:val="22"/>
              </w:rPr>
              <w:t>9</w:t>
            </w:r>
            <w:r w:rsidR="00354283">
              <w:rPr>
                <w:rFonts w:ascii="Arial" w:hAnsi="Arial" w:cs="Arial"/>
                <w:sz w:val="22"/>
                <w:szCs w:val="22"/>
              </w:rPr>
              <w:t xml:space="preserve">, nel quale sono presenti anche i rappresentanti dei diversi uffici regionali competenti in materia (ORGR, </w:t>
            </w:r>
            <w:r w:rsidR="004B2359">
              <w:rPr>
                <w:rFonts w:ascii="Arial" w:hAnsi="Arial" w:cs="Arial"/>
                <w:sz w:val="22"/>
                <w:szCs w:val="22"/>
              </w:rPr>
              <w:t xml:space="preserve">ARPAC, </w:t>
            </w:r>
            <w:r w:rsidR="00354283">
              <w:rPr>
                <w:rFonts w:ascii="Arial" w:hAnsi="Arial" w:cs="Arial"/>
                <w:sz w:val="22"/>
                <w:szCs w:val="22"/>
              </w:rPr>
              <w:t>Catasto regionale rifiuti presso ARPAC)</w:t>
            </w:r>
          </w:p>
        </w:tc>
      </w:tr>
      <w:tr w:rsidR="009330B4" w:rsidRPr="00972971" w14:paraId="51FDAA51" w14:textId="77777777" w:rsidTr="00926FB8">
        <w:tc>
          <w:tcPr>
            <w:tcW w:w="709" w:type="dxa"/>
          </w:tcPr>
          <w:p w14:paraId="404DB64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05785B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38B15383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05DD8B8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1F3D9D98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9D39FDF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6A8E4B5" w14:textId="77777777" w:rsidR="009330B4" w:rsidRPr="00972971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785AE485" w14:textId="77777777" w:rsidR="009330B4" w:rsidRPr="00F27C9E" w:rsidRDefault="00BE3BD5" w:rsidP="00FE395B">
            <w:pPr>
              <w:pStyle w:val="TableContents"/>
              <w:ind w:left="37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F27C9E" w14:paraId="18C9615F" w14:textId="77777777" w:rsidTr="00926FB8">
        <w:tc>
          <w:tcPr>
            <w:tcW w:w="709" w:type="dxa"/>
          </w:tcPr>
          <w:p w14:paraId="0B7BC3C4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611DD9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66FBEB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7F3E418" w14:textId="77777777" w:rsidR="009330B4" w:rsidRPr="00972971" w:rsidRDefault="009330B4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vAlign w:val="center"/>
          </w:tcPr>
          <w:p w14:paraId="42824B5A" w14:textId="77777777" w:rsidR="00F27C9E" w:rsidRDefault="00F27C9E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50 17</w:t>
            </w:r>
            <w:r w:rsidR="00BA23F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91- Via Roberto Bracco, 15 A, 80133 Napoli</w:t>
            </w:r>
          </w:p>
          <w:p w14:paraId="1B91A559" w14:textId="77777777" w:rsidR="00F27C9E" w:rsidRDefault="00F27C9E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el.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081/7963002 –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081/796</w:t>
            </w:r>
            <w:r w:rsidR="00300643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3250</w:t>
            </w:r>
          </w:p>
          <w:p w14:paraId="3D80FF27" w14:textId="77777777" w:rsidR="009330B4" w:rsidRPr="00FE395B" w:rsidRDefault="00F27C9E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</w:t>
            </w:r>
            <w:hyperlink r:id="rId13" w:history="1"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staff.501791@pec.regione.campania.it</w:t>
              </w:r>
            </w:hyperlink>
          </w:p>
        </w:tc>
      </w:tr>
      <w:tr w:rsidR="009330B4" w:rsidRPr="00972971" w14:paraId="1F2FCB60" w14:textId="77777777" w:rsidTr="00926FB8">
        <w:tc>
          <w:tcPr>
            <w:tcW w:w="709" w:type="dxa"/>
          </w:tcPr>
          <w:p w14:paraId="00A94A10" w14:textId="77777777" w:rsidR="009330B4" w:rsidRPr="00F27C9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</w:tcPr>
          <w:p w14:paraId="798B056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655B2618" w14:textId="77777777" w:rsidR="009330B4" w:rsidRPr="00972971" w:rsidRDefault="009330B4" w:rsidP="00FE39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558" w:type="dxa"/>
            <w:vAlign w:val="center"/>
          </w:tcPr>
          <w:p w14:paraId="74D15ED3" w14:textId="77777777" w:rsidR="009330B4" w:rsidRPr="00972971" w:rsidRDefault="00F27C9E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Contatto telefonico ai numeri: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081/7963002 – 081/7963</w:t>
            </w:r>
            <w:r w:rsidR="0030064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250</w:t>
            </w:r>
            <w:r>
              <w:rPr>
                <w:rFonts w:ascii="Arial" w:hAnsi="Arial" w:cs="Arial"/>
                <w:sz w:val="22"/>
                <w:szCs w:val="22"/>
              </w:rPr>
              <w:t xml:space="preserve"> o recandosi personalmente presso la sede sita in Via Roberto Bracco, 15 A, 80133 Napol</w:t>
            </w:r>
            <w:r w:rsidR="00FE395B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="009330B4" w:rsidRPr="00972971" w14:paraId="2C02CC6A" w14:textId="77777777" w:rsidTr="00926FB8">
        <w:tc>
          <w:tcPr>
            <w:tcW w:w="709" w:type="dxa"/>
          </w:tcPr>
          <w:p w14:paraId="0799EC22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704880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3E4414D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6A9F400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Art. 2, comma 2, lettera e) L.R. n. 11/2015</w:t>
            </w:r>
          </w:p>
          <w:p w14:paraId="61027359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61004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1F982CFE" w14:textId="77777777" w:rsidR="00F27C9E" w:rsidRPr="00F27C9E" w:rsidRDefault="004B2359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Si prevede di procedere all’adozione dell’aggiornamento del Piano nel corso del 2021.</w:t>
            </w:r>
          </w:p>
        </w:tc>
      </w:tr>
      <w:tr w:rsidR="004C1548" w:rsidRPr="00972971" w14:paraId="43FF2751" w14:textId="77777777" w:rsidTr="00926FB8">
        <w:tc>
          <w:tcPr>
            <w:tcW w:w="709" w:type="dxa"/>
          </w:tcPr>
          <w:p w14:paraId="0268C492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849C22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10A9ECA0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1E75EC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042CC145" w14:textId="77777777" w:rsidR="004C1548" w:rsidRPr="00972971" w:rsidRDefault="00734A24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</w:t>
            </w:r>
            <w:r w:rsidR="00214A51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972971" w14:paraId="4726D611" w14:textId="77777777" w:rsidTr="00926FB8">
        <w:tc>
          <w:tcPr>
            <w:tcW w:w="709" w:type="dxa"/>
          </w:tcPr>
          <w:p w14:paraId="2E94318F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63DFA5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12B9A8B6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789FE11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03E4DBF9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DD7946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26629E9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3462A37E" w14:textId="77777777" w:rsidR="009330B4" w:rsidRPr="00972971" w:rsidRDefault="00214A5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3D6F4EBB" w14:textId="77777777" w:rsidTr="00926FB8">
        <w:tc>
          <w:tcPr>
            <w:tcW w:w="709" w:type="dxa"/>
          </w:tcPr>
          <w:p w14:paraId="37EF13FB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9DE5AC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124E436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F7D0449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5A1A48FF" w14:textId="77777777" w:rsidR="009330B4" w:rsidRPr="00972971" w:rsidRDefault="00214A5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6AA03A83" w14:textId="77777777" w:rsidTr="00926FB8">
        <w:tc>
          <w:tcPr>
            <w:tcW w:w="709" w:type="dxa"/>
          </w:tcPr>
          <w:p w14:paraId="722C2B94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390D03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058FB25C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74BA1CA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22E948F2" w14:textId="77777777" w:rsidR="004C1548" w:rsidRPr="00734A24" w:rsidRDefault="00354283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394310ED" w14:textId="77777777" w:rsidTr="00926FB8">
        <w:tc>
          <w:tcPr>
            <w:tcW w:w="709" w:type="dxa"/>
          </w:tcPr>
          <w:p w14:paraId="1FF1A230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3E7C2D0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3D2961F5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79FB6E9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453910B7" w14:textId="77777777" w:rsidR="004C1548" w:rsidRPr="00972971" w:rsidRDefault="00214A5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6EEBADAB" w14:textId="77777777" w:rsidTr="00926FB8">
        <w:tc>
          <w:tcPr>
            <w:tcW w:w="709" w:type="dxa"/>
          </w:tcPr>
          <w:p w14:paraId="5CED22C5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05BD522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E0C2C9B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417F314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5D505A8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1846CB23" w14:textId="77777777" w:rsidR="004C1548" w:rsidRPr="00972971" w:rsidRDefault="00214A51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68F9142E" w14:textId="77777777" w:rsidTr="00926FB8">
        <w:tc>
          <w:tcPr>
            <w:tcW w:w="709" w:type="dxa"/>
          </w:tcPr>
          <w:p w14:paraId="62725C8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5855688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5F991FE5" w14:textId="77777777" w:rsidR="009330B4" w:rsidRPr="00972971" w:rsidRDefault="009330B4" w:rsidP="009108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558" w:type="dxa"/>
            <w:vAlign w:val="center"/>
          </w:tcPr>
          <w:p w14:paraId="10698E41" w14:textId="77777777" w:rsidR="00910855" w:rsidRDefault="00910855" w:rsidP="0091085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attività di pianificazione, così come quelle del relativo monitoraggio attuativo, non prevedono specificatamente l’esercizio di un potere sostitutivo.</w:t>
            </w:r>
          </w:p>
          <w:p w14:paraId="3C8302F8" w14:textId="77777777" w:rsidR="00910855" w:rsidRDefault="00910855" w:rsidP="00910855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L.R. n. 14/2016 (art. 39) prevede che l’esercizio dei poteri sostitutivi in caso di inerzia degli organi competenti a dare attuazione alle previsioni della legge medesima e della pianificazione regionale in materia di ciclo integrato dei rifiuti sia svolto dal Presidente della Giunta, regionale previa istruttoria della Direzione Generale competente.</w:t>
            </w:r>
          </w:p>
          <w:p w14:paraId="0915B625" w14:textId="4AF198F3" w:rsidR="00B0151D" w:rsidRDefault="00B0151D" w:rsidP="00B0151D">
            <w:pPr>
              <w:pStyle w:val="TableContents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L’esercizio dei poteri sostitutivi, ai sensi dell’art. 1 della L. R n. 2 del 04/03/2021 è attribuito 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l Direttore Generale </w:t>
            </w:r>
            <w:r>
              <w:rPr>
                <w:rFonts w:ascii="Arial" w:hAnsi="Arial" w:cs="Arial"/>
                <w:sz w:val="22"/>
                <w:szCs w:val="22"/>
              </w:rPr>
              <w:t>Ciclo Integrato delle Acque e dei Rifiuti, Autorizzazioni Ambientali –</w:t>
            </w:r>
            <w:r w:rsidR="00214138">
              <w:rPr>
                <w:rFonts w:ascii="Arial" w:hAnsi="Arial" w:cs="Arial"/>
                <w:sz w:val="22"/>
                <w:szCs w:val="22"/>
              </w:rPr>
              <w:t xml:space="preserve"> dott. Antonello Barretta</w:t>
            </w:r>
            <w:r>
              <w:rPr>
                <w:rFonts w:ascii="Arial" w:hAnsi="Arial" w:cs="Arial"/>
                <w:sz w:val="22"/>
                <w:szCs w:val="22"/>
              </w:rPr>
              <w:t xml:space="preserve">; tel. 081796 3198; </w:t>
            </w:r>
          </w:p>
          <w:p w14:paraId="20F958F3" w14:textId="68BF1CEB" w:rsidR="00B0151D" w:rsidRDefault="00B0151D" w:rsidP="00B0151D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4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</w:t>
              </w:r>
              <w:r w:rsidR="0021413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tonello</w:t>
              </w:r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.</w:t>
              </w:r>
              <w:r w:rsidR="0021413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barretta</w:t>
              </w:r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8D61BE6" w14:textId="77777777" w:rsidR="00070F85" w:rsidRPr="00070F85" w:rsidRDefault="00B0151D" w:rsidP="00B0151D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15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dg.501700@pec.regione.campania.it</w:t>
              </w:r>
            </w:hyperlink>
          </w:p>
        </w:tc>
      </w:tr>
      <w:tr w:rsidR="009330B4" w:rsidRPr="00070F85" w14:paraId="48BBE8EF" w14:textId="77777777" w:rsidTr="00926FB8">
        <w:tc>
          <w:tcPr>
            <w:tcW w:w="709" w:type="dxa"/>
          </w:tcPr>
          <w:p w14:paraId="36880972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BDF2100" w14:textId="77777777" w:rsidR="009330B4" w:rsidRPr="00F3238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5A01B485" w14:textId="77777777" w:rsidR="009330B4" w:rsidRPr="00070F85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0F85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  <w:p w14:paraId="0E774303" w14:textId="77777777" w:rsidR="009330B4" w:rsidRPr="00070F85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vAlign w:val="center"/>
          </w:tcPr>
          <w:p w14:paraId="105284C3" w14:textId="77777777" w:rsidR="00070F85" w:rsidRPr="00BB5A68" w:rsidRDefault="00070F85" w:rsidP="00FE395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è previsto uno specifico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glossario, tuttavia </w:t>
            </w:r>
            <w:r w:rsidR="00354283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i rimanda al </w:t>
            </w:r>
            <w:r w:rsidR="00354283">
              <w:rPr>
                <w:rFonts w:ascii="Arial" w:hAnsi="Arial" w:cs="Arial"/>
                <w:sz w:val="22"/>
                <w:szCs w:val="22"/>
              </w:rPr>
              <w:t>testo del</w:t>
            </w:r>
            <w:r w:rsidR="004B2359">
              <w:rPr>
                <w:rFonts w:ascii="Arial" w:hAnsi="Arial" w:cs="Arial"/>
                <w:sz w:val="22"/>
                <w:szCs w:val="22"/>
              </w:rPr>
              <w:t xml:space="preserve">la DGR 124/2019 </w:t>
            </w:r>
            <w:r w:rsidR="00354283">
              <w:rPr>
                <w:rFonts w:ascii="Arial" w:hAnsi="Arial" w:cs="Arial"/>
                <w:sz w:val="22"/>
                <w:szCs w:val="22"/>
              </w:rPr>
              <w:t>pubblicat</w:t>
            </w:r>
            <w:r w:rsidR="004B2359">
              <w:rPr>
                <w:rFonts w:ascii="Arial" w:hAnsi="Arial" w:cs="Arial"/>
                <w:sz w:val="22"/>
                <w:szCs w:val="22"/>
              </w:rPr>
              <w:t>a</w:t>
            </w:r>
            <w:r w:rsidR="00354283">
              <w:rPr>
                <w:rFonts w:ascii="Arial" w:hAnsi="Arial" w:cs="Arial"/>
                <w:sz w:val="22"/>
                <w:szCs w:val="22"/>
              </w:rPr>
              <w:t xml:space="preserve"> sul BURC n. </w:t>
            </w:r>
            <w:r w:rsidR="004B2359">
              <w:rPr>
                <w:rFonts w:ascii="Arial" w:hAnsi="Arial" w:cs="Arial"/>
                <w:sz w:val="22"/>
                <w:szCs w:val="22"/>
              </w:rPr>
              <w:t>21</w:t>
            </w:r>
            <w:r w:rsidR="00354283">
              <w:rPr>
                <w:rFonts w:ascii="Arial" w:hAnsi="Arial" w:cs="Arial"/>
                <w:sz w:val="22"/>
                <w:szCs w:val="22"/>
              </w:rPr>
              <w:t>/201</w:t>
            </w:r>
            <w:r w:rsidR="004B2359">
              <w:rPr>
                <w:rFonts w:ascii="Arial" w:hAnsi="Arial" w:cs="Arial"/>
                <w:sz w:val="22"/>
                <w:szCs w:val="22"/>
              </w:rPr>
              <w:t>9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BE3E639" w14:textId="77777777" w:rsidR="002F4499" w:rsidRPr="00070F85" w:rsidRDefault="002F4499" w:rsidP="00FE395B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16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605A7" w14:textId="77777777" w:rsidR="00DC0150" w:rsidRDefault="00DC0150" w:rsidP="004C1548">
      <w:r>
        <w:separator/>
      </w:r>
    </w:p>
  </w:endnote>
  <w:endnote w:type="continuationSeparator" w:id="0">
    <w:p w14:paraId="2D4F1530" w14:textId="77777777" w:rsidR="00DC0150" w:rsidRDefault="00DC0150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0596A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C6CB9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7013132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905D9" w14:textId="77777777" w:rsidR="00DC0150" w:rsidRDefault="00DC0150" w:rsidP="004C1548">
      <w:r>
        <w:separator/>
      </w:r>
    </w:p>
  </w:footnote>
  <w:footnote w:type="continuationSeparator" w:id="0">
    <w:p w14:paraId="77B39FB9" w14:textId="77777777" w:rsidR="00DC0150" w:rsidRDefault="00DC0150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189466">
    <w:abstractNumId w:val="0"/>
  </w:num>
  <w:num w:numId="2" w16cid:durableId="1031030731">
    <w:abstractNumId w:val="1"/>
  </w:num>
  <w:num w:numId="3" w16cid:durableId="130096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60D1"/>
    <w:rsid w:val="00020231"/>
    <w:rsid w:val="00065AB5"/>
    <w:rsid w:val="00070F85"/>
    <w:rsid w:val="000806D7"/>
    <w:rsid w:val="000A1968"/>
    <w:rsid w:val="000A26EC"/>
    <w:rsid w:val="000F30A1"/>
    <w:rsid w:val="00126081"/>
    <w:rsid w:val="00147D1B"/>
    <w:rsid w:val="00214138"/>
    <w:rsid w:val="00214A51"/>
    <w:rsid w:val="002C08D2"/>
    <w:rsid w:val="002F14F5"/>
    <w:rsid w:val="002F4499"/>
    <w:rsid w:val="00300643"/>
    <w:rsid w:val="00351CF6"/>
    <w:rsid w:val="00354283"/>
    <w:rsid w:val="003B0E08"/>
    <w:rsid w:val="0045073E"/>
    <w:rsid w:val="00497095"/>
    <w:rsid w:val="004B2359"/>
    <w:rsid w:val="004C1548"/>
    <w:rsid w:val="00583F2F"/>
    <w:rsid w:val="00616BDA"/>
    <w:rsid w:val="006718A0"/>
    <w:rsid w:val="00683EC4"/>
    <w:rsid w:val="006E3424"/>
    <w:rsid w:val="00734A24"/>
    <w:rsid w:val="007B3E7F"/>
    <w:rsid w:val="008F639F"/>
    <w:rsid w:val="00910855"/>
    <w:rsid w:val="00926FB8"/>
    <w:rsid w:val="009330B4"/>
    <w:rsid w:val="00943C20"/>
    <w:rsid w:val="009553F0"/>
    <w:rsid w:val="00972971"/>
    <w:rsid w:val="00986B79"/>
    <w:rsid w:val="00A17F18"/>
    <w:rsid w:val="00A4679A"/>
    <w:rsid w:val="00A7600E"/>
    <w:rsid w:val="00AA7256"/>
    <w:rsid w:val="00AE22E0"/>
    <w:rsid w:val="00B0151D"/>
    <w:rsid w:val="00B42C90"/>
    <w:rsid w:val="00B962E2"/>
    <w:rsid w:val="00BA23F4"/>
    <w:rsid w:val="00BB5A68"/>
    <w:rsid w:val="00BD3124"/>
    <w:rsid w:val="00BE3BD5"/>
    <w:rsid w:val="00C8370B"/>
    <w:rsid w:val="00D8389D"/>
    <w:rsid w:val="00DB106D"/>
    <w:rsid w:val="00DC0150"/>
    <w:rsid w:val="00E2139F"/>
    <w:rsid w:val="00E52F01"/>
    <w:rsid w:val="00E602FF"/>
    <w:rsid w:val="00F27C9E"/>
    <w:rsid w:val="00F32388"/>
    <w:rsid w:val="00F728CB"/>
    <w:rsid w:val="00FC6CB9"/>
    <w:rsid w:val="00FE395B"/>
    <w:rsid w:val="00FF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214C24"/>
  <w15:chartTrackingRefBased/>
  <w15:docId w15:val="{6A6A48D4-0B3A-4D60-B3FD-9F244D52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5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aa.addrizza@regione.campania.it" TargetMode="External"/><Relationship Id="rId13" Type="http://schemas.openxmlformats.org/officeDocument/2006/relationships/hyperlink" Target="mailto:staff.501791@pec.regione.campania.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aff.501791@pec.regione.campania.it" TargetMode="External"/><Relationship Id="rId12" Type="http://schemas.openxmlformats.org/officeDocument/2006/relationships/hyperlink" Target="mailto:martha.napolitano@regione.campania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rancesca.grieco@regione.campania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g.501700@pec.regione.campania.it" TargetMode="External"/><Relationship Id="rId10" Type="http://schemas.openxmlformats.org/officeDocument/2006/relationships/hyperlink" Target="mailto:isabella.dercole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ea.catalano@regione.campania.it" TargetMode="External"/><Relationship Id="rId14" Type="http://schemas.openxmlformats.org/officeDocument/2006/relationships/hyperlink" Target="mailto:anna.martinoli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8538</CharactersWithSpaces>
  <SharedDoc>false</SharedDoc>
  <HLinks>
    <vt:vector size="30" baseType="variant">
      <vt:variant>
        <vt:i4>5177385</vt:i4>
      </vt:variant>
      <vt:variant>
        <vt:i4>12</vt:i4>
      </vt:variant>
      <vt:variant>
        <vt:i4>0</vt:i4>
      </vt:variant>
      <vt:variant>
        <vt:i4>5</vt:i4>
      </vt:variant>
      <vt:variant>
        <vt:lpwstr>mailto:dg.501700@pec.regione.campania.it</vt:lpwstr>
      </vt:variant>
      <vt:variant>
        <vt:lpwstr/>
      </vt:variant>
      <vt:variant>
        <vt:i4>3080194</vt:i4>
      </vt:variant>
      <vt:variant>
        <vt:i4>9</vt:i4>
      </vt:variant>
      <vt:variant>
        <vt:i4>0</vt:i4>
      </vt:variant>
      <vt:variant>
        <vt:i4>5</vt:i4>
      </vt:variant>
      <vt:variant>
        <vt:lpwstr>mailto:anna.martinoli@regione.campania.it</vt:lpwstr>
      </vt:variant>
      <vt:variant>
        <vt:lpwstr/>
      </vt:variant>
      <vt:variant>
        <vt:i4>1769572</vt:i4>
      </vt:variant>
      <vt:variant>
        <vt:i4>6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3801101</vt:i4>
      </vt:variant>
      <vt:variant>
        <vt:i4>3</vt:i4>
      </vt:variant>
      <vt:variant>
        <vt:i4>0</vt:i4>
      </vt:variant>
      <vt:variant>
        <vt:i4>5</vt:i4>
      </vt:variant>
      <vt:variant>
        <vt:lpwstr>mailto:michele.rampone@regione.campania.it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5</cp:revision>
  <cp:lastPrinted>1899-12-31T23:00:00Z</cp:lastPrinted>
  <dcterms:created xsi:type="dcterms:W3CDTF">2024-09-12T16:35:00Z</dcterms:created>
  <dcterms:modified xsi:type="dcterms:W3CDTF">2024-09-13T08:42:00Z</dcterms:modified>
</cp:coreProperties>
</file>