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EB1C" w14:textId="77777777" w:rsidR="008D3BF9" w:rsidRDefault="008D3BF9" w:rsidP="00234CE5">
      <w:pPr>
        <w:jc w:val="center"/>
        <w:rPr>
          <w:b/>
          <w:bCs/>
        </w:rPr>
      </w:pPr>
    </w:p>
    <w:p w14:paraId="4FC6ED5A" w14:textId="77777777" w:rsidR="00A82BAD" w:rsidRDefault="00A82BAD" w:rsidP="00A82BAD">
      <w:pPr>
        <w:jc w:val="center"/>
        <w:rPr>
          <w:b/>
          <w:bCs/>
        </w:rPr>
      </w:pPr>
    </w:p>
    <w:p w14:paraId="306EA322" w14:textId="77777777" w:rsidR="00A82BAD" w:rsidRDefault="00A82BAD" w:rsidP="00A82BAD">
      <w:pPr>
        <w:jc w:val="center"/>
        <w:rPr>
          <w:b/>
          <w:bCs/>
        </w:rPr>
      </w:pPr>
    </w:p>
    <w:p w14:paraId="40CEE373" w14:textId="1D8C74EE" w:rsidR="00A82BAD" w:rsidRPr="00A82BAD" w:rsidRDefault="00A82BAD" w:rsidP="00A82BAD">
      <w:pPr>
        <w:jc w:val="center"/>
        <w:rPr>
          <w:rFonts w:ascii="Arial" w:hAnsi="Arial" w:cs="Arial"/>
          <w:b/>
          <w:bCs/>
        </w:rPr>
      </w:pPr>
      <w:r w:rsidRPr="00A82BAD">
        <w:rPr>
          <w:rFonts w:ascii="Arial" w:hAnsi="Arial" w:cs="Arial"/>
          <w:b/>
          <w:bCs/>
        </w:rPr>
        <w:t>COMUNICATO STAMPA</w:t>
      </w:r>
    </w:p>
    <w:p w14:paraId="5BF88DF7" w14:textId="7A4C8EAF" w:rsidR="00A82BAD" w:rsidRPr="00A82BAD" w:rsidRDefault="00A82BAD" w:rsidP="00A82BAD">
      <w:pPr>
        <w:spacing w:after="0"/>
        <w:jc w:val="center"/>
        <w:rPr>
          <w:rFonts w:ascii="Arial" w:hAnsi="Arial" w:cs="Arial"/>
          <w:b/>
          <w:bCs/>
        </w:rPr>
      </w:pPr>
      <w:r w:rsidRPr="00A82BAD">
        <w:rPr>
          <w:rFonts w:ascii="Arial" w:hAnsi="Arial" w:cs="Arial"/>
          <w:b/>
          <w:bCs/>
        </w:rPr>
        <w:t>Immobili dello Stato: firmato accordo per la riqualificazione e la valorizzazione del Real Polverificio Borbonico di Scafati (SA) per attrarre investitori privati nell’area archeologica più famosa al mondo</w:t>
      </w:r>
    </w:p>
    <w:p w14:paraId="696B18BD" w14:textId="77777777" w:rsidR="00A82BAD" w:rsidRPr="00A82BAD" w:rsidRDefault="00A82BAD" w:rsidP="00A82BAD">
      <w:pPr>
        <w:spacing w:after="0"/>
        <w:jc w:val="center"/>
        <w:rPr>
          <w:rFonts w:ascii="Arial" w:hAnsi="Arial" w:cs="Arial"/>
          <w:b/>
          <w:bCs/>
        </w:rPr>
      </w:pPr>
    </w:p>
    <w:p w14:paraId="3B45CD69" w14:textId="77777777" w:rsidR="00C6523C" w:rsidRDefault="00A82BAD" w:rsidP="00A82BAD">
      <w:pPr>
        <w:jc w:val="center"/>
        <w:rPr>
          <w:rFonts w:ascii="Arial" w:hAnsi="Arial" w:cs="Arial"/>
        </w:rPr>
      </w:pPr>
      <w:r w:rsidRPr="00A82BAD">
        <w:rPr>
          <w:rFonts w:ascii="Arial" w:hAnsi="Arial" w:cs="Arial"/>
          <w:i/>
          <w:iCs/>
        </w:rPr>
        <w:t>L’intesa è stata sottoscritta da Agenzia del Demanio, Regione Campania, Ente Parco Regionale del Bacino Idrografico del Fiume Sarno e</w:t>
      </w:r>
      <w:r w:rsidRPr="00A82BAD">
        <w:rPr>
          <w:rFonts w:ascii="Arial" w:hAnsi="Arial" w:cs="Arial"/>
          <w:i/>
          <w:iCs/>
          <w:color w:val="000000"/>
          <w:shd w:val="clear" w:color="auto" w:fill="FFFFFF"/>
        </w:rPr>
        <w:t xml:space="preserve"> </w:t>
      </w:r>
      <w:r w:rsidRPr="00A82BAD">
        <w:rPr>
          <w:rFonts w:ascii="Arial" w:hAnsi="Arial" w:cs="Arial"/>
          <w:i/>
          <w:iCs/>
        </w:rPr>
        <w:t>Università degli Studi di Salerno.</w:t>
      </w:r>
      <w:r w:rsidR="00AD18F6">
        <w:rPr>
          <w:rFonts w:ascii="Arial" w:hAnsi="Arial" w:cs="Arial"/>
        </w:rPr>
        <w:t xml:space="preserve"> </w:t>
      </w:r>
    </w:p>
    <w:p w14:paraId="4CA10CF6" w14:textId="4790ED5C" w:rsidR="00A82BAD" w:rsidRPr="00C76B56" w:rsidRDefault="00042E48" w:rsidP="00A82BAD">
      <w:pPr>
        <w:jc w:val="center"/>
        <w:rPr>
          <w:rFonts w:ascii="Arial" w:hAnsi="Arial" w:cs="Arial"/>
          <w:b/>
          <w:bCs/>
          <w:i/>
          <w:iCs/>
        </w:rPr>
      </w:pPr>
      <w:r w:rsidRPr="00C76B56">
        <w:rPr>
          <w:rFonts w:ascii="Arial" w:hAnsi="Arial" w:cs="Arial"/>
          <w:b/>
          <w:bCs/>
          <w:i/>
          <w:iCs/>
        </w:rPr>
        <w:t>S</w:t>
      </w:r>
      <w:r w:rsidR="00964BF3" w:rsidRPr="00C76B56">
        <w:rPr>
          <w:rFonts w:ascii="Arial" w:hAnsi="Arial" w:cs="Arial"/>
          <w:b/>
          <w:bCs/>
          <w:i/>
          <w:iCs/>
        </w:rPr>
        <w:t>ul sito</w:t>
      </w:r>
      <w:r w:rsidR="00E8447F" w:rsidRPr="00C76B56">
        <w:rPr>
          <w:rFonts w:ascii="Arial" w:hAnsi="Arial" w:cs="Arial"/>
          <w:b/>
          <w:bCs/>
          <w:i/>
          <w:iCs/>
        </w:rPr>
        <w:t xml:space="preserve"> www.pompeiisites.org</w:t>
      </w:r>
      <w:r w:rsidR="00964BF3" w:rsidRPr="00C76B56">
        <w:rPr>
          <w:rFonts w:ascii="Arial" w:hAnsi="Arial" w:cs="Arial"/>
          <w:b/>
          <w:bCs/>
          <w:i/>
          <w:iCs/>
        </w:rPr>
        <w:t xml:space="preserve"> </w:t>
      </w:r>
      <w:r w:rsidRPr="00C76B56">
        <w:rPr>
          <w:rFonts w:ascii="Arial" w:hAnsi="Arial" w:cs="Arial"/>
          <w:b/>
          <w:bCs/>
          <w:i/>
          <w:iCs/>
        </w:rPr>
        <w:t xml:space="preserve">il Parco Archeologico di Pompei ha pubblicato </w:t>
      </w:r>
      <w:r w:rsidR="00A82BAD" w:rsidRPr="00C76B56">
        <w:rPr>
          <w:rFonts w:ascii="Arial" w:hAnsi="Arial" w:cs="Arial"/>
          <w:b/>
          <w:bCs/>
          <w:i/>
          <w:iCs/>
        </w:rPr>
        <w:t xml:space="preserve">l’avviso di consultazione di mercato per raccogliere anche dai privati idee e proposte sulla rigenerazione e l’attrattività dell’area vesuviana. </w:t>
      </w:r>
    </w:p>
    <w:p w14:paraId="597B0E56" w14:textId="77777777" w:rsidR="00A82BAD" w:rsidRPr="00A82BAD" w:rsidRDefault="00A82BAD" w:rsidP="00A82BAD">
      <w:pPr>
        <w:jc w:val="center"/>
        <w:rPr>
          <w:rFonts w:ascii="Arial" w:hAnsi="Arial" w:cs="Arial"/>
          <w:i/>
          <w:iCs/>
        </w:rPr>
      </w:pPr>
    </w:p>
    <w:p w14:paraId="60E1D255" w14:textId="6EB60D37" w:rsidR="00A82BAD" w:rsidRPr="00A82BAD" w:rsidRDefault="00A82BAD" w:rsidP="00A82BAD">
      <w:pPr>
        <w:jc w:val="both"/>
        <w:rPr>
          <w:rFonts w:ascii="Arial" w:hAnsi="Arial" w:cs="Arial"/>
        </w:rPr>
      </w:pPr>
      <w:r w:rsidRPr="00A82BAD">
        <w:rPr>
          <w:rFonts w:ascii="Arial" w:hAnsi="Arial" w:cs="Arial"/>
          <w:b/>
          <w:bCs/>
        </w:rPr>
        <w:t>Roma, 2</w:t>
      </w:r>
      <w:r w:rsidR="00AD18F6">
        <w:rPr>
          <w:rFonts w:ascii="Arial" w:hAnsi="Arial" w:cs="Arial"/>
          <w:b/>
          <w:bCs/>
        </w:rPr>
        <w:t>7</w:t>
      </w:r>
      <w:r w:rsidRPr="00A82BAD">
        <w:rPr>
          <w:rFonts w:ascii="Arial" w:hAnsi="Arial" w:cs="Arial"/>
          <w:b/>
          <w:bCs/>
        </w:rPr>
        <w:t xml:space="preserve"> gennaio 2025</w:t>
      </w:r>
      <w:r w:rsidRPr="00A82BAD">
        <w:rPr>
          <w:rFonts w:ascii="Arial" w:hAnsi="Arial" w:cs="Arial"/>
        </w:rPr>
        <w:t xml:space="preserve"> – Riqualificare e rigenerare l’ex Polverificio di Scafati, un compendio dello Stato di grande valore storico-artistico afferente al Parco Archeologico di Pompei, che per dimensioni, posizione e vocazione architettonica, culturale e agricola, ha tutti gli elementi per poter avviare un progetto di sviluppo che ne valorizzi le potenzialità turistiche, culturali e sociali. </w:t>
      </w:r>
    </w:p>
    <w:p w14:paraId="213D205A" w14:textId="7593FE35" w:rsidR="00496656" w:rsidRDefault="00A82BAD" w:rsidP="00A82BAD">
      <w:pPr>
        <w:jc w:val="both"/>
        <w:rPr>
          <w:rFonts w:ascii="Arial" w:hAnsi="Arial" w:cs="Arial"/>
          <w:color w:val="000000" w:themeColor="text1"/>
        </w:rPr>
      </w:pPr>
      <w:r w:rsidRPr="00A82BAD">
        <w:rPr>
          <w:rFonts w:ascii="Arial" w:hAnsi="Arial" w:cs="Arial"/>
        </w:rPr>
        <w:t>Questo l’obiettivo dell’accordo, sottoscritto dal Direttore dell’Agenzia del Demanio, Alessandra dal Verme, dal Presidente della Regione Campania, Vincenzo De Luca, dal Presidente dell’Ente Parco Regionale del Bacino Idrografico del Fiume Sarno,</w:t>
      </w:r>
      <w:r w:rsidRPr="00A82BAD">
        <w:rPr>
          <w:rFonts w:ascii="Arial" w:hAnsi="Arial" w:cs="Arial"/>
          <w:color w:val="000000"/>
          <w:shd w:val="clear" w:color="auto" w:fill="FFFFFF"/>
        </w:rPr>
        <w:t xml:space="preserve"> </w:t>
      </w:r>
      <w:r w:rsidRPr="00A82BAD">
        <w:rPr>
          <w:rFonts w:ascii="Arial" w:hAnsi="Arial" w:cs="Arial"/>
        </w:rPr>
        <w:t xml:space="preserve">Vincenzo Marrazzo e dal </w:t>
      </w:r>
      <w:r w:rsidR="00484967">
        <w:rPr>
          <w:rFonts w:ascii="Arial" w:hAnsi="Arial" w:cs="Arial"/>
        </w:rPr>
        <w:t>R</w:t>
      </w:r>
      <w:r w:rsidRPr="00A82BAD">
        <w:rPr>
          <w:rFonts w:ascii="Arial" w:hAnsi="Arial" w:cs="Arial"/>
        </w:rPr>
        <w:t>ettore dell’Università degli Studi di Salerno, Vincenzo Loia. L’intesa, che segue un accordo firmato nel marzo 2024 dall’Agenzia del Demanio e dal Parco Archeologico di Pompei (MIC),</w:t>
      </w:r>
      <w:r w:rsidR="00FD67E0">
        <w:rPr>
          <w:rFonts w:ascii="Arial" w:hAnsi="Arial" w:cs="Arial"/>
        </w:rPr>
        <w:t xml:space="preserve"> </w:t>
      </w:r>
      <w:r w:rsidR="00FD67E0" w:rsidRPr="00496656">
        <w:rPr>
          <w:rFonts w:ascii="Arial" w:hAnsi="Arial" w:cs="Arial"/>
          <w:color w:val="000000" w:themeColor="text1"/>
        </w:rPr>
        <w:t>anche con la proficua disponibilità e collaborazione dell’Amministrazione Comunale di Scafati,</w:t>
      </w:r>
      <w:r w:rsidRPr="00A82BAD">
        <w:rPr>
          <w:rFonts w:ascii="Arial" w:hAnsi="Arial" w:cs="Arial"/>
        </w:rPr>
        <w:t xml:space="preserve"> impegna le parti ad avviare iniziative che favoriscano la creazione di un ecosistema a carattere culturale, restituendo al territorio una vocazione complessiva di attrattore per un turismo culturale e sostenibile che accresca le potenzialità di sviluppo dell’intera area. Attraverso l’estensione di processi culturali, che trovano profonda origine nella terra, nella produzione agricola e artigianale e nelle tradizioni del territorio, si punta a una maggiore offerta per i visitatori che attualmente accedono solo all’area archeologica e a incentivare un nuovo modo di conoscere il nostro patrimonio culturale così che i turisti possano superare la logica di “viaggiatori in visita” per vivere pienamente il contesto urbano e sociale. </w:t>
      </w:r>
      <w:r w:rsidRPr="00A82BAD">
        <w:rPr>
          <w:rFonts w:ascii="Arial" w:eastAsia="Arial" w:hAnsi="Arial" w:cs="Arial"/>
        </w:rPr>
        <w:t>Un Tavolo Tecnico coordinerà le attività</w:t>
      </w:r>
      <w:r w:rsidRPr="00A82BAD">
        <w:rPr>
          <w:rFonts w:ascii="Arial" w:hAnsi="Arial" w:cs="Arial"/>
        </w:rPr>
        <w:t xml:space="preserve"> per la buona riuscita degli interventi e delle strategie di sviluppo.</w:t>
      </w:r>
      <w:r w:rsidRPr="00A82BAD">
        <w:rPr>
          <w:rFonts w:ascii="Arial" w:hAnsi="Arial" w:cs="Arial"/>
          <w:color w:val="000000" w:themeColor="text1"/>
        </w:rPr>
        <w:t xml:space="preserve"> </w:t>
      </w:r>
      <w:r w:rsidR="00496656">
        <w:rPr>
          <w:rFonts w:ascii="Arial" w:hAnsi="Arial" w:cs="Arial"/>
          <w:color w:val="000000" w:themeColor="text1"/>
        </w:rPr>
        <w:t xml:space="preserve"> </w:t>
      </w:r>
    </w:p>
    <w:p w14:paraId="058F4112" w14:textId="4AD9996A" w:rsidR="00A842BD" w:rsidRPr="00672994" w:rsidRDefault="00A842BD" w:rsidP="00A82BAD">
      <w:pPr>
        <w:jc w:val="both"/>
        <w:rPr>
          <w:rFonts w:ascii="Arial" w:hAnsi="Arial" w:cs="Arial"/>
          <w:color w:val="000000" w:themeColor="text1"/>
        </w:rPr>
      </w:pPr>
      <w:r w:rsidRPr="00A82BAD">
        <w:rPr>
          <w:rFonts w:ascii="Arial" w:hAnsi="Arial" w:cs="Arial"/>
          <w:color w:val="000000" w:themeColor="text1"/>
        </w:rPr>
        <w:t xml:space="preserve">L’intesa prevede il coinvolgimento, a partire dalle fasi progettuali, di imprenditori e investitori privati interessati ad operazioni di partenariato nell’area archeologica. </w:t>
      </w:r>
      <w:r>
        <w:rPr>
          <w:rFonts w:ascii="Arial" w:hAnsi="Arial" w:cs="Arial"/>
          <w:color w:val="000000" w:themeColor="text1"/>
        </w:rPr>
        <w:t>A tal fine</w:t>
      </w:r>
      <w:r w:rsidR="00511E5A">
        <w:rPr>
          <w:rFonts w:ascii="Arial" w:hAnsi="Arial" w:cs="Arial"/>
          <w:color w:val="000000" w:themeColor="text1"/>
        </w:rPr>
        <w:t xml:space="preserve">, oggi </w:t>
      </w:r>
      <w:r w:rsidR="00302EE3">
        <w:rPr>
          <w:rFonts w:ascii="Arial" w:hAnsi="Arial" w:cs="Arial"/>
          <w:color w:val="000000" w:themeColor="text1"/>
        </w:rPr>
        <w:t>su</w:t>
      </w:r>
      <w:r w:rsidR="008E01DD">
        <w:rPr>
          <w:rFonts w:ascii="Arial" w:hAnsi="Arial" w:cs="Arial"/>
          <w:color w:val="000000" w:themeColor="text1"/>
        </w:rPr>
        <w:t xml:space="preserve">l sito </w:t>
      </w:r>
      <w:hyperlink r:id="rId7" w:history="1">
        <w:r w:rsidR="00672994" w:rsidRPr="00B855B8">
          <w:rPr>
            <w:rStyle w:val="Collegamentoipertestuale"/>
            <w:rFonts w:ascii="Arial" w:hAnsi="Arial" w:cs="Arial"/>
          </w:rPr>
          <w:t>www.pompeiisites.org</w:t>
        </w:r>
      </w:hyperlink>
      <w:r w:rsidR="00672994">
        <w:rPr>
          <w:rFonts w:ascii="Arial" w:hAnsi="Arial" w:cs="Arial"/>
          <w:color w:val="000000" w:themeColor="text1"/>
        </w:rPr>
        <w:t xml:space="preserve"> </w:t>
      </w:r>
      <w:r w:rsidR="00511E5A">
        <w:rPr>
          <w:rFonts w:ascii="Arial" w:hAnsi="Arial" w:cs="Arial"/>
        </w:rPr>
        <w:t xml:space="preserve">è stato </w:t>
      </w:r>
      <w:r w:rsidRPr="00A82BAD">
        <w:rPr>
          <w:rFonts w:ascii="Arial" w:hAnsi="Arial" w:cs="Arial"/>
        </w:rPr>
        <w:t xml:space="preserve">pubblicato un </w:t>
      </w:r>
      <w:r w:rsidRPr="00A82BAD">
        <w:rPr>
          <w:rFonts w:ascii="Arial" w:hAnsi="Arial" w:cs="Arial"/>
          <w:b/>
          <w:bCs/>
        </w:rPr>
        <w:t>avviso aperto di consultazione di mercato</w:t>
      </w:r>
      <w:r w:rsidRPr="00A82BAD">
        <w:rPr>
          <w:rFonts w:ascii="Arial" w:hAnsi="Arial" w:cs="Arial"/>
        </w:rPr>
        <w:t xml:space="preserve"> (D.lgs. 36/2023), di cui l’Ente Parco Archeologico di Pompei è soggetto proponente, nell’ambito del partenariato pubblico-privato, per raccogliere anche da imprenditori e investitori italiani e internazionali proposte per un piano di rigenerazione complessiva dell’area ad alta valenza ambientale e culturale in continuità con le strategie già poste in essere per gli altri siti e aree verdi del Parco Archeologico di Pompei. </w:t>
      </w:r>
    </w:p>
    <w:p w14:paraId="5B81AA73" w14:textId="77777777" w:rsidR="00484967" w:rsidRDefault="00A82BAD" w:rsidP="00A82BAD">
      <w:pPr>
        <w:jc w:val="both"/>
        <w:rPr>
          <w:rFonts w:ascii="Arial" w:hAnsi="Arial" w:cs="Arial"/>
        </w:rPr>
      </w:pPr>
      <w:r w:rsidRPr="00A82BAD">
        <w:rPr>
          <w:rFonts w:ascii="Arial" w:hAnsi="Arial" w:cs="Arial"/>
        </w:rPr>
        <w:t xml:space="preserve">Si tratta di un’area di circa 15 ettari pressoché rettangolare su cui insistono numerosi edifici di diverse epoche (circa 29.000 mq coperti, 173.000 metri cubi di volumetrie complessive tra le parti storiche da preservare e quelle più moderne suscettibili anche di nuove riconfigurazioni) inserite all’interno di un’area verde, che ne costituisce il parco, caratterizzata da due viali di platani e verdeggianti tratti </w:t>
      </w:r>
    </w:p>
    <w:p w14:paraId="555B3BC0" w14:textId="77777777" w:rsidR="00484967" w:rsidRDefault="00484967" w:rsidP="00A82BAD">
      <w:pPr>
        <w:jc w:val="both"/>
        <w:rPr>
          <w:rFonts w:ascii="Arial" w:hAnsi="Arial" w:cs="Arial"/>
        </w:rPr>
      </w:pPr>
    </w:p>
    <w:p w14:paraId="2ED14CC5" w14:textId="77777777" w:rsidR="00C6523C" w:rsidRDefault="00C6523C" w:rsidP="00A82BAD">
      <w:pPr>
        <w:jc w:val="both"/>
        <w:rPr>
          <w:rFonts w:ascii="Arial" w:hAnsi="Arial" w:cs="Arial"/>
        </w:rPr>
      </w:pPr>
    </w:p>
    <w:p w14:paraId="7CD2A0FB" w14:textId="0136CFDF" w:rsidR="00A82BAD" w:rsidRPr="00A82BAD" w:rsidRDefault="00A82BAD" w:rsidP="00A82BAD">
      <w:pPr>
        <w:jc w:val="both"/>
        <w:rPr>
          <w:rFonts w:ascii="Arial" w:hAnsi="Arial" w:cs="Arial"/>
        </w:rPr>
      </w:pPr>
      <w:r w:rsidRPr="00A82BAD">
        <w:rPr>
          <w:rFonts w:ascii="Arial" w:hAnsi="Arial" w:cs="Arial"/>
        </w:rPr>
        <w:t xml:space="preserve">secondari.  Il complesso si trova al centro di un’area, unica per storia, memoria e bellezza paesaggistica, sulla quale transitano ogni anno milioni di visitatori – si contano 4 milioni per il Parco archeologico di Pompei e 2 milioni per il Santuario mariano. Numeri che potranno aumentare significativamente grazie alla riqualificazione dell’ex Polverificio di Scafati - in consegna al Parco Archeologico di Pompei dal 2016 - già avviata con primi interventi di bonifica, restauro degli edifici e recupero del monumentale doppio filare di platani che attraversa longitudinalmente il complesso. </w:t>
      </w:r>
    </w:p>
    <w:p w14:paraId="63C3A1C9" w14:textId="24A714E1" w:rsidR="00A82BAD" w:rsidRPr="00A82BAD" w:rsidRDefault="00A82BAD" w:rsidP="00A82BAD">
      <w:pPr>
        <w:jc w:val="both"/>
        <w:rPr>
          <w:rFonts w:ascii="Arial" w:hAnsi="Arial" w:cs="Arial"/>
        </w:rPr>
      </w:pPr>
      <w:r w:rsidRPr="00A82BAD">
        <w:rPr>
          <w:rFonts w:ascii="Arial" w:hAnsi="Arial" w:cs="Arial"/>
        </w:rPr>
        <w:t xml:space="preserve">Oggi il sito è già utilizzato per </w:t>
      </w:r>
      <w:r w:rsidR="00484967">
        <w:rPr>
          <w:rFonts w:ascii="Arial" w:hAnsi="Arial" w:cs="Arial"/>
        </w:rPr>
        <w:t>f</w:t>
      </w:r>
      <w:r w:rsidRPr="00A82BAD">
        <w:rPr>
          <w:rFonts w:ascii="Arial" w:hAnsi="Arial" w:cs="Arial"/>
        </w:rPr>
        <w:t xml:space="preserve">iere di settore e accoglie un progetto di agricoltura sociale, che vede impegnati giovani del territorio nella coltivazione e produzione di prodotti della terra. Dunque, un grande spazio verde urbano, pubblico e accessibile alla comunità e alle famiglie del territorio, che assieme agli edifici si presta a essere trasformato in un Parco tematico </w:t>
      </w:r>
      <w:r w:rsidRPr="00A82BAD">
        <w:rPr>
          <w:rFonts w:ascii="Arial" w:hAnsi="Arial" w:cs="Arial"/>
          <w:i/>
          <w:iCs/>
        </w:rPr>
        <w:t>green</w:t>
      </w:r>
      <w:r w:rsidRPr="00A82BAD">
        <w:rPr>
          <w:rFonts w:ascii="Arial" w:hAnsi="Arial" w:cs="Arial"/>
        </w:rPr>
        <w:t xml:space="preserve"> con strutture turistico-ricettive, laboratori per la ricerca sulla sostenibilità ambientale, spazi destinati ad attività agroalimentari, culturali ed esperienziali in connessione con l’area archeologica di Pompei.  </w:t>
      </w:r>
    </w:p>
    <w:p w14:paraId="4068B88B" w14:textId="77777777" w:rsidR="00A82BAD" w:rsidRPr="00A82BAD" w:rsidRDefault="00A82BAD" w:rsidP="00A82BAD">
      <w:pPr>
        <w:jc w:val="both"/>
        <w:rPr>
          <w:rFonts w:ascii="Arial" w:hAnsi="Arial" w:cs="Arial"/>
        </w:rPr>
      </w:pPr>
    </w:p>
    <w:p w14:paraId="0C7C964C" w14:textId="0FD6DE72" w:rsidR="00A82BAD" w:rsidRDefault="00C76B56" w:rsidP="00A82BAD">
      <w:pPr>
        <w:jc w:val="both"/>
        <w:rPr>
          <w:rFonts w:ascii="Arial" w:hAnsi="Arial" w:cs="Arial"/>
        </w:rPr>
      </w:pPr>
      <w:r>
        <w:rPr>
          <w:rFonts w:ascii="Arial" w:hAnsi="Arial" w:cs="Arial"/>
        </w:rPr>
        <w:t xml:space="preserve">Vai all’avviso di consultazione di mercato: </w:t>
      </w:r>
      <w:hyperlink r:id="rId8" w:tgtFrame="_blank" w:tooltip="https://pompeiisites.org/trasparenza/real-polverificio-borbonico-avviso-esplorativo-ex-art-77-comma-1-del-d-lgs-36-2023/" w:history="1">
        <w:r w:rsidRPr="00C76B56">
          <w:rPr>
            <w:rStyle w:val="Collegamentoipertestuale"/>
            <w:rFonts w:ascii="Arial" w:hAnsi="Arial" w:cs="Arial"/>
          </w:rPr>
          <w:t>https://pompeiisites.org/trasparenza/real-polverificio-borbonico-avviso-esplorativo-ex-art-77-comma-1-del-d-lgs-36-2023/</w:t>
        </w:r>
      </w:hyperlink>
    </w:p>
    <w:p w14:paraId="5666BC26" w14:textId="77777777" w:rsidR="00C76B56" w:rsidRPr="00A82BAD" w:rsidRDefault="00C76B56" w:rsidP="00A82BAD">
      <w:pPr>
        <w:jc w:val="both"/>
        <w:rPr>
          <w:rFonts w:ascii="Arial" w:hAnsi="Arial" w:cs="Arial"/>
        </w:rPr>
      </w:pPr>
    </w:p>
    <w:p w14:paraId="1E985E25" w14:textId="77777777" w:rsidR="00E34BD0" w:rsidRPr="00A82BAD" w:rsidRDefault="00E34BD0" w:rsidP="004B05FC">
      <w:pPr>
        <w:jc w:val="both"/>
        <w:rPr>
          <w:rFonts w:ascii="Arial" w:hAnsi="Arial" w:cs="Arial"/>
        </w:rPr>
      </w:pPr>
    </w:p>
    <w:sectPr w:rsidR="00E34BD0" w:rsidRPr="00A82B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7495" w14:textId="77777777" w:rsidR="009A1CE3" w:rsidRDefault="009A1CE3" w:rsidP="006C6735">
      <w:pPr>
        <w:spacing w:after="0" w:line="240" w:lineRule="auto"/>
      </w:pPr>
      <w:r>
        <w:separator/>
      </w:r>
    </w:p>
  </w:endnote>
  <w:endnote w:type="continuationSeparator" w:id="0">
    <w:p w14:paraId="34244141" w14:textId="77777777" w:rsidR="009A1CE3" w:rsidRDefault="009A1CE3" w:rsidP="006C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FDBB5" w14:textId="77777777" w:rsidR="009A1CE3" w:rsidRDefault="009A1CE3" w:rsidP="006C6735">
      <w:pPr>
        <w:spacing w:after="0" w:line="240" w:lineRule="auto"/>
      </w:pPr>
      <w:r>
        <w:separator/>
      </w:r>
    </w:p>
  </w:footnote>
  <w:footnote w:type="continuationSeparator" w:id="0">
    <w:p w14:paraId="13DFD67A" w14:textId="77777777" w:rsidR="009A1CE3" w:rsidRDefault="009A1CE3" w:rsidP="006C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940D" w14:textId="3503FF7E" w:rsidR="004B05FC" w:rsidRPr="007D74FB" w:rsidRDefault="007D74FB" w:rsidP="007D74FB">
    <w:pPr>
      <w:pStyle w:val="Intestazione"/>
    </w:pPr>
    <w:r>
      <w:rPr>
        <w:noProof/>
      </w:rPr>
      <w:drawing>
        <wp:inline distT="0" distB="0" distL="0" distR="0" wp14:anchorId="58B7B311" wp14:editId="44E8312E">
          <wp:extent cx="1227867" cy="611505"/>
          <wp:effectExtent l="0" t="0" r="0" b="0"/>
          <wp:docPr id="139569295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523" cy="612330"/>
                  </a:xfrm>
                  <a:prstGeom prst="rect">
                    <a:avLst/>
                  </a:prstGeom>
                  <a:noFill/>
                </pic:spPr>
              </pic:pic>
            </a:graphicData>
          </a:graphic>
        </wp:inline>
      </w:drawing>
    </w:r>
    <w:r>
      <w:rPr>
        <w:noProof/>
      </w:rPr>
      <w:t xml:space="preserve">     </w:t>
    </w:r>
    <w:r w:rsidR="009E4389">
      <w:rPr>
        <w:noProof/>
      </w:rPr>
      <w:t xml:space="preserve">    </w:t>
    </w:r>
    <w:r>
      <w:rPr>
        <w:noProof/>
      </w:rPr>
      <w:t xml:space="preserve"> </w:t>
    </w:r>
    <w:r w:rsidR="00B1610D">
      <w:rPr>
        <w:noProof/>
      </w:rPr>
      <w:drawing>
        <wp:inline distT="0" distB="0" distL="0" distR="0" wp14:anchorId="20FF9AD3" wp14:editId="7AEDCB52">
          <wp:extent cx="870027" cy="565635"/>
          <wp:effectExtent l="0" t="0" r="6350" b="6350"/>
          <wp:docPr id="138043513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35139" name="Immagine 1" descr="Immagine che contiene testo, Carattere, schermata,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863" cy="584382"/>
                  </a:xfrm>
                  <a:prstGeom prst="rect">
                    <a:avLst/>
                  </a:prstGeom>
                  <a:noFill/>
                  <a:ln>
                    <a:noFill/>
                  </a:ln>
                </pic:spPr>
              </pic:pic>
            </a:graphicData>
          </a:graphic>
        </wp:inline>
      </w:drawing>
    </w:r>
    <w:r>
      <w:rPr>
        <w:noProof/>
      </w:rPr>
      <w:t xml:space="preserve">    </w:t>
    </w:r>
    <w:r w:rsidR="009E4389">
      <w:rPr>
        <w:noProof/>
      </w:rPr>
      <w:t xml:space="preserve">    </w:t>
    </w:r>
    <w:r>
      <w:rPr>
        <w:noProof/>
      </w:rPr>
      <w:t xml:space="preserve"> </w:t>
    </w:r>
    <w:r>
      <w:rPr>
        <w:noProof/>
      </w:rPr>
      <w:drawing>
        <wp:inline distT="0" distB="0" distL="0" distR="0" wp14:anchorId="04C15C6C" wp14:editId="00970DB4">
          <wp:extent cx="762000" cy="719455"/>
          <wp:effectExtent l="0" t="0" r="0" b="4445"/>
          <wp:docPr id="14724581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19455"/>
                  </a:xfrm>
                  <a:prstGeom prst="rect">
                    <a:avLst/>
                  </a:prstGeom>
                  <a:noFill/>
                </pic:spPr>
              </pic:pic>
            </a:graphicData>
          </a:graphic>
        </wp:inline>
      </w:drawing>
    </w:r>
    <w:r>
      <w:rPr>
        <w:noProof/>
      </w:rPr>
      <w:t xml:space="preserve">               </w:t>
    </w:r>
    <w:r>
      <w:rPr>
        <w:noProof/>
      </w:rPr>
      <w:drawing>
        <wp:inline distT="0" distB="0" distL="0" distR="0" wp14:anchorId="2B2F7659" wp14:editId="54971211">
          <wp:extent cx="597535" cy="719455"/>
          <wp:effectExtent l="0" t="0" r="0" b="4445"/>
          <wp:docPr id="19880791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inline>
      </w:drawing>
    </w:r>
    <w:r>
      <w:rPr>
        <w:noProof/>
      </w:rPr>
      <w:t xml:space="preserve">                   </w:t>
    </w:r>
    <w:r>
      <w:rPr>
        <w:noProof/>
      </w:rPr>
      <w:drawing>
        <wp:inline distT="0" distB="0" distL="0" distR="0" wp14:anchorId="26B3D1DD" wp14:editId="4CC9C057">
          <wp:extent cx="1071974" cy="605155"/>
          <wp:effectExtent l="0" t="0" r="0" b="4445"/>
          <wp:docPr id="119573746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291" cy="6075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44D"/>
    <w:multiLevelType w:val="hybridMultilevel"/>
    <w:tmpl w:val="01C67DCC"/>
    <w:lvl w:ilvl="0" w:tplc="78909150">
      <w:start w:val="1"/>
      <w:numFmt w:val="decimal"/>
      <w:lvlText w:val="%1."/>
      <w:lvlJc w:val="left"/>
      <w:pPr>
        <w:ind w:left="843" w:hanging="284"/>
      </w:pPr>
      <w:rPr>
        <w:rFonts w:ascii="Arial" w:eastAsia="Arial MT" w:hAnsi="Arial" w:cs="Arial"/>
        <w:b w:val="0"/>
        <w:bCs w:val="0"/>
        <w:i w:val="0"/>
        <w:color w:val="auto"/>
        <w:spacing w:val="-1"/>
        <w:w w:val="99"/>
        <w:sz w:val="20"/>
        <w:szCs w:val="20"/>
        <w:lang w:val="it-IT" w:eastAsia="en-US" w:bidi="ar-SA"/>
      </w:rPr>
    </w:lvl>
    <w:lvl w:ilvl="1" w:tplc="0A128DEA">
      <w:start w:val="1"/>
      <w:numFmt w:val="lowerLetter"/>
      <w:lvlText w:val="%2)"/>
      <w:lvlJc w:val="left"/>
      <w:pPr>
        <w:ind w:left="1126" w:hanging="284"/>
      </w:pPr>
      <w:rPr>
        <w:rFonts w:ascii="Arial MT" w:eastAsia="Arial MT" w:hAnsi="Arial MT" w:cs="Arial MT" w:hint="default"/>
        <w:spacing w:val="-1"/>
        <w:w w:val="99"/>
        <w:sz w:val="20"/>
        <w:szCs w:val="20"/>
        <w:lang w:val="it-IT" w:eastAsia="en-US" w:bidi="ar-SA"/>
      </w:rPr>
    </w:lvl>
    <w:lvl w:ilvl="2" w:tplc="B76AEDDE">
      <w:numFmt w:val="bullet"/>
      <w:lvlText w:val="•"/>
      <w:lvlJc w:val="left"/>
      <w:pPr>
        <w:ind w:left="2202" w:hanging="284"/>
      </w:pPr>
      <w:rPr>
        <w:rFonts w:hint="default"/>
        <w:lang w:val="it-IT" w:eastAsia="en-US" w:bidi="ar-SA"/>
      </w:rPr>
    </w:lvl>
    <w:lvl w:ilvl="3" w:tplc="247AC6D4">
      <w:numFmt w:val="bullet"/>
      <w:lvlText w:val="•"/>
      <w:lvlJc w:val="left"/>
      <w:pPr>
        <w:ind w:left="3284" w:hanging="284"/>
      </w:pPr>
      <w:rPr>
        <w:rFonts w:hint="default"/>
        <w:lang w:val="it-IT" w:eastAsia="en-US" w:bidi="ar-SA"/>
      </w:rPr>
    </w:lvl>
    <w:lvl w:ilvl="4" w:tplc="6F081238">
      <w:numFmt w:val="bullet"/>
      <w:lvlText w:val="•"/>
      <w:lvlJc w:val="left"/>
      <w:pPr>
        <w:ind w:left="4366" w:hanging="284"/>
      </w:pPr>
      <w:rPr>
        <w:rFonts w:hint="default"/>
        <w:lang w:val="it-IT" w:eastAsia="en-US" w:bidi="ar-SA"/>
      </w:rPr>
    </w:lvl>
    <w:lvl w:ilvl="5" w:tplc="4BC89D4A">
      <w:numFmt w:val="bullet"/>
      <w:lvlText w:val="•"/>
      <w:lvlJc w:val="left"/>
      <w:pPr>
        <w:ind w:left="5448" w:hanging="284"/>
      </w:pPr>
      <w:rPr>
        <w:rFonts w:hint="default"/>
        <w:lang w:val="it-IT" w:eastAsia="en-US" w:bidi="ar-SA"/>
      </w:rPr>
    </w:lvl>
    <w:lvl w:ilvl="6" w:tplc="A52AB592">
      <w:numFmt w:val="bullet"/>
      <w:lvlText w:val="•"/>
      <w:lvlJc w:val="left"/>
      <w:pPr>
        <w:ind w:left="6531" w:hanging="284"/>
      </w:pPr>
      <w:rPr>
        <w:rFonts w:hint="default"/>
        <w:lang w:val="it-IT" w:eastAsia="en-US" w:bidi="ar-SA"/>
      </w:rPr>
    </w:lvl>
    <w:lvl w:ilvl="7" w:tplc="12B4D118">
      <w:numFmt w:val="bullet"/>
      <w:lvlText w:val="•"/>
      <w:lvlJc w:val="left"/>
      <w:pPr>
        <w:ind w:left="7613" w:hanging="284"/>
      </w:pPr>
      <w:rPr>
        <w:rFonts w:hint="default"/>
        <w:lang w:val="it-IT" w:eastAsia="en-US" w:bidi="ar-SA"/>
      </w:rPr>
    </w:lvl>
    <w:lvl w:ilvl="8" w:tplc="26EA394E">
      <w:numFmt w:val="bullet"/>
      <w:lvlText w:val="•"/>
      <w:lvlJc w:val="left"/>
      <w:pPr>
        <w:ind w:left="8695" w:hanging="284"/>
      </w:pPr>
      <w:rPr>
        <w:rFonts w:hint="default"/>
        <w:lang w:val="it-IT" w:eastAsia="en-US" w:bidi="ar-SA"/>
      </w:rPr>
    </w:lvl>
  </w:abstractNum>
  <w:abstractNum w:abstractNumId="1" w15:restartNumberingAfterBreak="0">
    <w:nsid w:val="0EF57273"/>
    <w:multiLevelType w:val="hybridMultilevel"/>
    <w:tmpl w:val="2C4CE348"/>
    <w:lvl w:ilvl="0" w:tplc="FFFFFFFF">
      <w:start w:val="1"/>
      <w:numFmt w:val="lowerLetter"/>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43B0E"/>
    <w:multiLevelType w:val="hybridMultilevel"/>
    <w:tmpl w:val="2C4CE348"/>
    <w:lvl w:ilvl="0" w:tplc="FFFFFFFF">
      <w:start w:val="1"/>
      <w:numFmt w:val="lowerLetter"/>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A0E80"/>
    <w:multiLevelType w:val="hybridMultilevel"/>
    <w:tmpl w:val="2C4CE348"/>
    <w:lvl w:ilvl="0" w:tplc="277873D8">
      <w:start w:val="1"/>
      <w:numFmt w:val="lowerLetter"/>
      <w:lvlText w:val="%1)"/>
      <w:lvlJc w:val="left"/>
      <w:pPr>
        <w:ind w:left="720" w:hanging="360"/>
      </w:pPr>
      <w:rPr>
        <w:rFonts w:hint="default"/>
        <w:color w:val="000000" w:themeColor="text1"/>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6E1213"/>
    <w:multiLevelType w:val="hybridMultilevel"/>
    <w:tmpl w:val="B1AEDE96"/>
    <w:lvl w:ilvl="0" w:tplc="DB306592">
      <w:start w:val="1"/>
      <w:numFmt w:val="decimal"/>
      <w:lvlText w:val="%1."/>
      <w:lvlJc w:val="left"/>
      <w:pPr>
        <w:ind w:left="284" w:hanging="284"/>
      </w:pPr>
      <w:rPr>
        <w:rFonts w:ascii="Arial MT" w:eastAsia="Arial MT" w:hAnsi="Arial MT" w:cs="Arial MT" w:hint="default"/>
        <w:strike w:val="0"/>
        <w:spacing w:val="-1"/>
        <w:w w:val="99"/>
        <w:sz w:val="20"/>
        <w:szCs w:val="20"/>
        <w:lang w:val="it-IT" w:eastAsia="en-US" w:bidi="ar-SA"/>
      </w:rPr>
    </w:lvl>
    <w:lvl w:ilvl="1" w:tplc="CD221F8A">
      <w:numFmt w:val="bullet"/>
      <w:lvlText w:val="•"/>
      <w:lvlJc w:val="left"/>
      <w:pPr>
        <w:ind w:left="1842" w:hanging="284"/>
      </w:pPr>
      <w:rPr>
        <w:rFonts w:hint="default"/>
        <w:lang w:val="it-IT" w:eastAsia="en-US" w:bidi="ar-SA"/>
      </w:rPr>
    </w:lvl>
    <w:lvl w:ilvl="2" w:tplc="3A2E46DA">
      <w:numFmt w:val="bullet"/>
      <w:lvlText w:val="•"/>
      <w:lvlJc w:val="left"/>
      <w:pPr>
        <w:ind w:left="2844" w:hanging="284"/>
      </w:pPr>
      <w:rPr>
        <w:rFonts w:hint="default"/>
        <w:lang w:val="it-IT" w:eastAsia="en-US" w:bidi="ar-SA"/>
      </w:rPr>
    </w:lvl>
    <w:lvl w:ilvl="3" w:tplc="9188880C">
      <w:numFmt w:val="bullet"/>
      <w:lvlText w:val="•"/>
      <w:lvlJc w:val="left"/>
      <w:pPr>
        <w:ind w:left="3846" w:hanging="284"/>
      </w:pPr>
      <w:rPr>
        <w:rFonts w:hint="default"/>
        <w:lang w:val="it-IT" w:eastAsia="en-US" w:bidi="ar-SA"/>
      </w:rPr>
    </w:lvl>
    <w:lvl w:ilvl="4" w:tplc="C8D416FE">
      <w:numFmt w:val="bullet"/>
      <w:lvlText w:val="•"/>
      <w:lvlJc w:val="left"/>
      <w:pPr>
        <w:ind w:left="4848" w:hanging="284"/>
      </w:pPr>
      <w:rPr>
        <w:rFonts w:hint="default"/>
        <w:lang w:val="it-IT" w:eastAsia="en-US" w:bidi="ar-SA"/>
      </w:rPr>
    </w:lvl>
    <w:lvl w:ilvl="5" w:tplc="712872F4">
      <w:numFmt w:val="bullet"/>
      <w:lvlText w:val="•"/>
      <w:lvlJc w:val="left"/>
      <w:pPr>
        <w:ind w:left="5850" w:hanging="284"/>
      </w:pPr>
      <w:rPr>
        <w:rFonts w:hint="default"/>
        <w:lang w:val="it-IT" w:eastAsia="en-US" w:bidi="ar-SA"/>
      </w:rPr>
    </w:lvl>
    <w:lvl w:ilvl="6" w:tplc="6838A7FA">
      <w:numFmt w:val="bullet"/>
      <w:lvlText w:val="•"/>
      <w:lvlJc w:val="left"/>
      <w:pPr>
        <w:ind w:left="6852" w:hanging="284"/>
      </w:pPr>
      <w:rPr>
        <w:rFonts w:hint="default"/>
        <w:lang w:val="it-IT" w:eastAsia="en-US" w:bidi="ar-SA"/>
      </w:rPr>
    </w:lvl>
    <w:lvl w:ilvl="7" w:tplc="AEAEBCE6">
      <w:numFmt w:val="bullet"/>
      <w:lvlText w:val="•"/>
      <w:lvlJc w:val="left"/>
      <w:pPr>
        <w:ind w:left="7854" w:hanging="284"/>
      </w:pPr>
      <w:rPr>
        <w:rFonts w:hint="default"/>
        <w:lang w:val="it-IT" w:eastAsia="en-US" w:bidi="ar-SA"/>
      </w:rPr>
    </w:lvl>
    <w:lvl w:ilvl="8" w:tplc="53C06160">
      <w:numFmt w:val="bullet"/>
      <w:lvlText w:val="•"/>
      <w:lvlJc w:val="left"/>
      <w:pPr>
        <w:ind w:left="8856" w:hanging="284"/>
      </w:pPr>
      <w:rPr>
        <w:rFonts w:hint="default"/>
        <w:lang w:val="it-IT" w:eastAsia="en-US" w:bidi="ar-SA"/>
      </w:rPr>
    </w:lvl>
  </w:abstractNum>
  <w:abstractNum w:abstractNumId="5" w15:restartNumberingAfterBreak="0">
    <w:nsid w:val="5A857824"/>
    <w:multiLevelType w:val="hybridMultilevel"/>
    <w:tmpl w:val="2C4CE348"/>
    <w:lvl w:ilvl="0" w:tplc="FFFFFFFF">
      <w:start w:val="1"/>
      <w:numFmt w:val="lowerLetter"/>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3A01FE"/>
    <w:multiLevelType w:val="hybridMultilevel"/>
    <w:tmpl w:val="3C4EE5A0"/>
    <w:lvl w:ilvl="0" w:tplc="DBECB078">
      <w:start w:val="1"/>
      <w:numFmt w:val="decimal"/>
      <w:lvlText w:val="%1."/>
      <w:lvlJc w:val="left"/>
      <w:pPr>
        <w:ind w:left="843" w:hanging="224"/>
      </w:pPr>
      <w:rPr>
        <w:rFonts w:ascii="Arial MT" w:eastAsia="Arial MT" w:hAnsi="Arial MT" w:cs="Arial MT" w:hint="default"/>
        <w:spacing w:val="-1"/>
        <w:w w:val="99"/>
        <w:sz w:val="20"/>
        <w:szCs w:val="20"/>
        <w:lang w:val="it-IT" w:eastAsia="en-US" w:bidi="ar-SA"/>
      </w:rPr>
    </w:lvl>
    <w:lvl w:ilvl="1" w:tplc="71E259FC">
      <w:start w:val="1"/>
      <w:numFmt w:val="lowerLetter"/>
      <w:lvlText w:val="%2."/>
      <w:lvlJc w:val="left"/>
      <w:pPr>
        <w:ind w:left="1126" w:hanging="284"/>
      </w:pPr>
      <w:rPr>
        <w:rFonts w:ascii="Arial MT" w:eastAsia="Arial MT" w:hAnsi="Arial MT" w:cs="Arial MT" w:hint="default"/>
        <w:spacing w:val="-1"/>
        <w:w w:val="99"/>
        <w:sz w:val="20"/>
        <w:szCs w:val="20"/>
        <w:lang w:val="it-IT" w:eastAsia="en-US" w:bidi="ar-SA"/>
      </w:rPr>
    </w:lvl>
    <w:lvl w:ilvl="2" w:tplc="85D855BE">
      <w:numFmt w:val="bullet"/>
      <w:lvlText w:val="•"/>
      <w:lvlJc w:val="left"/>
      <w:pPr>
        <w:ind w:left="2202" w:hanging="284"/>
      </w:pPr>
      <w:rPr>
        <w:rFonts w:hint="default"/>
        <w:lang w:val="it-IT" w:eastAsia="en-US" w:bidi="ar-SA"/>
      </w:rPr>
    </w:lvl>
    <w:lvl w:ilvl="3" w:tplc="C47C4980">
      <w:numFmt w:val="bullet"/>
      <w:lvlText w:val="•"/>
      <w:lvlJc w:val="left"/>
      <w:pPr>
        <w:ind w:left="3284" w:hanging="284"/>
      </w:pPr>
      <w:rPr>
        <w:rFonts w:hint="default"/>
        <w:lang w:val="it-IT" w:eastAsia="en-US" w:bidi="ar-SA"/>
      </w:rPr>
    </w:lvl>
    <w:lvl w:ilvl="4" w:tplc="287A5520">
      <w:numFmt w:val="bullet"/>
      <w:lvlText w:val="•"/>
      <w:lvlJc w:val="left"/>
      <w:pPr>
        <w:ind w:left="4366" w:hanging="284"/>
      </w:pPr>
      <w:rPr>
        <w:rFonts w:hint="default"/>
        <w:lang w:val="it-IT" w:eastAsia="en-US" w:bidi="ar-SA"/>
      </w:rPr>
    </w:lvl>
    <w:lvl w:ilvl="5" w:tplc="45147448">
      <w:numFmt w:val="bullet"/>
      <w:lvlText w:val="•"/>
      <w:lvlJc w:val="left"/>
      <w:pPr>
        <w:ind w:left="5448" w:hanging="284"/>
      </w:pPr>
      <w:rPr>
        <w:rFonts w:hint="default"/>
        <w:lang w:val="it-IT" w:eastAsia="en-US" w:bidi="ar-SA"/>
      </w:rPr>
    </w:lvl>
    <w:lvl w:ilvl="6" w:tplc="72E2BB28">
      <w:numFmt w:val="bullet"/>
      <w:lvlText w:val="•"/>
      <w:lvlJc w:val="left"/>
      <w:pPr>
        <w:ind w:left="6531" w:hanging="284"/>
      </w:pPr>
      <w:rPr>
        <w:rFonts w:hint="default"/>
        <w:lang w:val="it-IT" w:eastAsia="en-US" w:bidi="ar-SA"/>
      </w:rPr>
    </w:lvl>
    <w:lvl w:ilvl="7" w:tplc="9C70FBB4">
      <w:numFmt w:val="bullet"/>
      <w:lvlText w:val="•"/>
      <w:lvlJc w:val="left"/>
      <w:pPr>
        <w:ind w:left="7613" w:hanging="284"/>
      </w:pPr>
      <w:rPr>
        <w:rFonts w:hint="default"/>
        <w:lang w:val="it-IT" w:eastAsia="en-US" w:bidi="ar-SA"/>
      </w:rPr>
    </w:lvl>
    <w:lvl w:ilvl="8" w:tplc="BC9EA190">
      <w:numFmt w:val="bullet"/>
      <w:lvlText w:val="•"/>
      <w:lvlJc w:val="left"/>
      <w:pPr>
        <w:ind w:left="8695" w:hanging="284"/>
      </w:pPr>
      <w:rPr>
        <w:rFonts w:hint="default"/>
        <w:lang w:val="it-IT" w:eastAsia="en-US" w:bidi="ar-SA"/>
      </w:rPr>
    </w:lvl>
  </w:abstractNum>
  <w:abstractNum w:abstractNumId="7" w15:restartNumberingAfterBreak="0">
    <w:nsid w:val="79921F3B"/>
    <w:multiLevelType w:val="hybridMultilevel"/>
    <w:tmpl w:val="AE5C9E00"/>
    <w:lvl w:ilvl="0" w:tplc="FFFFFFFF">
      <w:start w:val="1"/>
      <w:numFmt w:val="decimal"/>
      <w:lvlText w:val="%1."/>
      <w:lvlJc w:val="left"/>
      <w:pPr>
        <w:ind w:left="502" w:hanging="360"/>
      </w:pPr>
      <w:rPr>
        <w:rFonts w:hint="default"/>
      </w:rPr>
    </w:lvl>
    <w:lvl w:ilvl="1" w:tplc="DEFA95E6">
      <w:start w:val="1"/>
      <w:numFmt w:val="lowerLetter"/>
      <w:lvlText w:val="%2)"/>
      <w:lvlJc w:val="left"/>
      <w:pPr>
        <w:ind w:left="1913" w:hanging="360"/>
      </w:pPr>
      <w:rPr>
        <w:rFonts w:hint="default"/>
      </w:rPr>
    </w:lvl>
    <w:lvl w:ilvl="2" w:tplc="FFFFFFFF" w:tentative="1">
      <w:start w:val="1"/>
      <w:numFmt w:val="lowerRoman"/>
      <w:lvlText w:val="%3."/>
      <w:lvlJc w:val="right"/>
      <w:pPr>
        <w:ind w:left="2633" w:hanging="180"/>
      </w:pPr>
    </w:lvl>
    <w:lvl w:ilvl="3" w:tplc="FFFFFFFF" w:tentative="1">
      <w:start w:val="1"/>
      <w:numFmt w:val="decimal"/>
      <w:lvlText w:val="%4."/>
      <w:lvlJc w:val="left"/>
      <w:pPr>
        <w:ind w:left="3353" w:hanging="360"/>
      </w:pPr>
    </w:lvl>
    <w:lvl w:ilvl="4" w:tplc="FFFFFFFF" w:tentative="1">
      <w:start w:val="1"/>
      <w:numFmt w:val="lowerLetter"/>
      <w:lvlText w:val="%5."/>
      <w:lvlJc w:val="left"/>
      <w:pPr>
        <w:ind w:left="4073" w:hanging="360"/>
      </w:pPr>
    </w:lvl>
    <w:lvl w:ilvl="5" w:tplc="FFFFFFFF" w:tentative="1">
      <w:start w:val="1"/>
      <w:numFmt w:val="lowerRoman"/>
      <w:lvlText w:val="%6."/>
      <w:lvlJc w:val="right"/>
      <w:pPr>
        <w:ind w:left="4793" w:hanging="180"/>
      </w:pPr>
    </w:lvl>
    <w:lvl w:ilvl="6" w:tplc="FFFFFFFF" w:tentative="1">
      <w:start w:val="1"/>
      <w:numFmt w:val="decimal"/>
      <w:lvlText w:val="%7."/>
      <w:lvlJc w:val="left"/>
      <w:pPr>
        <w:ind w:left="5513" w:hanging="360"/>
      </w:pPr>
    </w:lvl>
    <w:lvl w:ilvl="7" w:tplc="FFFFFFFF" w:tentative="1">
      <w:start w:val="1"/>
      <w:numFmt w:val="lowerLetter"/>
      <w:lvlText w:val="%8."/>
      <w:lvlJc w:val="left"/>
      <w:pPr>
        <w:ind w:left="6233" w:hanging="360"/>
      </w:pPr>
    </w:lvl>
    <w:lvl w:ilvl="8" w:tplc="FFFFFFFF" w:tentative="1">
      <w:start w:val="1"/>
      <w:numFmt w:val="lowerRoman"/>
      <w:lvlText w:val="%9."/>
      <w:lvlJc w:val="right"/>
      <w:pPr>
        <w:ind w:left="6953" w:hanging="180"/>
      </w:pPr>
    </w:lvl>
  </w:abstractNum>
  <w:num w:numId="1" w16cid:durableId="744032797">
    <w:abstractNumId w:val="0"/>
  </w:num>
  <w:num w:numId="2" w16cid:durableId="1024474518">
    <w:abstractNumId w:val="4"/>
  </w:num>
  <w:num w:numId="3" w16cid:durableId="661663493">
    <w:abstractNumId w:val="3"/>
  </w:num>
  <w:num w:numId="4" w16cid:durableId="691029646">
    <w:abstractNumId w:val="7"/>
  </w:num>
  <w:num w:numId="5" w16cid:durableId="1256865904">
    <w:abstractNumId w:val="1"/>
  </w:num>
  <w:num w:numId="6" w16cid:durableId="67963152">
    <w:abstractNumId w:val="5"/>
  </w:num>
  <w:num w:numId="7" w16cid:durableId="73089828">
    <w:abstractNumId w:val="2"/>
  </w:num>
  <w:num w:numId="8" w16cid:durableId="22631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35"/>
    <w:rsid w:val="00003F55"/>
    <w:rsid w:val="000048C3"/>
    <w:rsid w:val="00005D64"/>
    <w:rsid w:val="00024224"/>
    <w:rsid w:val="0002612D"/>
    <w:rsid w:val="0004268F"/>
    <w:rsid w:val="00042E48"/>
    <w:rsid w:val="00043D70"/>
    <w:rsid w:val="000465E6"/>
    <w:rsid w:val="00053363"/>
    <w:rsid w:val="00065755"/>
    <w:rsid w:val="00076E90"/>
    <w:rsid w:val="00077D5E"/>
    <w:rsid w:val="00095F3E"/>
    <w:rsid w:val="000A3343"/>
    <w:rsid w:val="000A3807"/>
    <w:rsid w:val="000B47A6"/>
    <w:rsid w:val="000B6F66"/>
    <w:rsid w:val="000C1C1C"/>
    <w:rsid w:val="000C1DC3"/>
    <w:rsid w:val="000D1332"/>
    <w:rsid w:val="000D2D64"/>
    <w:rsid w:val="000D4CB4"/>
    <w:rsid w:val="000F24DF"/>
    <w:rsid w:val="000F630B"/>
    <w:rsid w:val="0010056B"/>
    <w:rsid w:val="00102F3C"/>
    <w:rsid w:val="00105181"/>
    <w:rsid w:val="001058DE"/>
    <w:rsid w:val="00105EF6"/>
    <w:rsid w:val="00120DA7"/>
    <w:rsid w:val="0012131B"/>
    <w:rsid w:val="001224CE"/>
    <w:rsid w:val="00135EED"/>
    <w:rsid w:val="001415B1"/>
    <w:rsid w:val="00150317"/>
    <w:rsid w:val="001538E2"/>
    <w:rsid w:val="00170194"/>
    <w:rsid w:val="00170EE1"/>
    <w:rsid w:val="001722EB"/>
    <w:rsid w:val="0018161C"/>
    <w:rsid w:val="00183259"/>
    <w:rsid w:val="001856CB"/>
    <w:rsid w:val="00191F5D"/>
    <w:rsid w:val="00196717"/>
    <w:rsid w:val="00197DB5"/>
    <w:rsid w:val="001B0210"/>
    <w:rsid w:val="001B5D34"/>
    <w:rsid w:val="001B71EE"/>
    <w:rsid w:val="001C7AB9"/>
    <w:rsid w:val="001D1787"/>
    <w:rsid w:val="001D6D61"/>
    <w:rsid w:val="001E1B62"/>
    <w:rsid w:val="001F6263"/>
    <w:rsid w:val="001F73D2"/>
    <w:rsid w:val="00206117"/>
    <w:rsid w:val="00214701"/>
    <w:rsid w:val="0022414A"/>
    <w:rsid w:val="00225874"/>
    <w:rsid w:val="002315E8"/>
    <w:rsid w:val="00234CE5"/>
    <w:rsid w:val="0025157C"/>
    <w:rsid w:val="00252024"/>
    <w:rsid w:val="00265ACD"/>
    <w:rsid w:val="00281161"/>
    <w:rsid w:val="00290A2D"/>
    <w:rsid w:val="00296095"/>
    <w:rsid w:val="002A3A98"/>
    <w:rsid w:val="002A7616"/>
    <w:rsid w:val="002B1AF9"/>
    <w:rsid w:val="002B37A4"/>
    <w:rsid w:val="002B7727"/>
    <w:rsid w:val="002C07F5"/>
    <w:rsid w:val="002C2F40"/>
    <w:rsid w:val="002E030E"/>
    <w:rsid w:val="002E5C58"/>
    <w:rsid w:val="002F0B66"/>
    <w:rsid w:val="002F14E8"/>
    <w:rsid w:val="002F4D34"/>
    <w:rsid w:val="00300E4C"/>
    <w:rsid w:val="00302CBC"/>
    <w:rsid w:val="00302EE3"/>
    <w:rsid w:val="003036D3"/>
    <w:rsid w:val="00306342"/>
    <w:rsid w:val="003149C8"/>
    <w:rsid w:val="003259F7"/>
    <w:rsid w:val="0033658F"/>
    <w:rsid w:val="00337FC8"/>
    <w:rsid w:val="00345E63"/>
    <w:rsid w:val="00347126"/>
    <w:rsid w:val="00364C97"/>
    <w:rsid w:val="00366821"/>
    <w:rsid w:val="00371849"/>
    <w:rsid w:val="0037382E"/>
    <w:rsid w:val="00374448"/>
    <w:rsid w:val="00374D73"/>
    <w:rsid w:val="00380EBA"/>
    <w:rsid w:val="00397F86"/>
    <w:rsid w:val="003B0FB0"/>
    <w:rsid w:val="003B277D"/>
    <w:rsid w:val="003B2B34"/>
    <w:rsid w:val="003B331A"/>
    <w:rsid w:val="003C605C"/>
    <w:rsid w:val="003D1125"/>
    <w:rsid w:val="003D1315"/>
    <w:rsid w:val="003D1A26"/>
    <w:rsid w:val="003E6A6D"/>
    <w:rsid w:val="003F477F"/>
    <w:rsid w:val="00404016"/>
    <w:rsid w:val="004162D1"/>
    <w:rsid w:val="00427EF4"/>
    <w:rsid w:val="00434299"/>
    <w:rsid w:val="00435D24"/>
    <w:rsid w:val="00443CD7"/>
    <w:rsid w:val="00447EB2"/>
    <w:rsid w:val="0045231A"/>
    <w:rsid w:val="004667E1"/>
    <w:rsid w:val="00467FD0"/>
    <w:rsid w:val="004713F3"/>
    <w:rsid w:val="004743CF"/>
    <w:rsid w:val="004771DE"/>
    <w:rsid w:val="00484967"/>
    <w:rsid w:val="004858C1"/>
    <w:rsid w:val="00490E82"/>
    <w:rsid w:val="004925AD"/>
    <w:rsid w:val="0049600B"/>
    <w:rsid w:val="00496656"/>
    <w:rsid w:val="004A7BBC"/>
    <w:rsid w:val="004B05FC"/>
    <w:rsid w:val="004B0CA3"/>
    <w:rsid w:val="004B78B0"/>
    <w:rsid w:val="004D62AC"/>
    <w:rsid w:val="004E2D3B"/>
    <w:rsid w:val="004E54F7"/>
    <w:rsid w:val="004E670D"/>
    <w:rsid w:val="004F50A1"/>
    <w:rsid w:val="00500F30"/>
    <w:rsid w:val="00503F36"/>
    <w:rsid w:val="0050445E"/>
    <w:rsid w:val="005059D9"/>
    <w:rsid w:val="00511CAE"/>
    <w:rsid w:val="00511E5A"/>
    <w:rsid w:val="00512A71"/>
    <w:rsid w:val="00516E8D"/>
    <w:rsid w:val="005223A2"/>
    <w:rsid w:val="00531967"/>
    <w:rsid w:val="00532ED3"/>
    <w:rsid w:val="00537D08"/>
    <w:rsid w:val="0054010F"/>
    <w:rsid w:val="0054338F"/>
    <w:rsid w:val="00550001"/>
    <w:rsid w:val="00553ECB"/>
    <w:rsid w:val="0055450E"/>
    <w:rsid w:val="0056152C"/>
    <w:rsid w:val="005712D9"/>
    <w:rsid w:val="00574293"/>
    <w:rsid w:val="005757A3"/>
    <w:rsid w:val="005768F2"/>
    <w:rsid w:val="00581408"/>
    <w:rsid w:val="00584ABA"/>
    <w:rsid w:val="00591266"/>
    <w:rsid w:val="00595367"/>
    <w:rsid w:val="005B1AFC"/>
    <w:rsid w:val="005B1B81"/>
    <w:rsid w:val="005B4AA2"/>
    <w:rsid w:val="005D638F"/>
    <w:rsid w:val="005F0F48"/>
    <w:rsid w:val="005F1039"/>
    <w:rsid w:val="005F4131"/>
    <w:rsid w:val="00600710"/>
    <w:rsid w:val="00610AE3"/>
    <w:rsid w:val="00620C41"/>
    <w:rsid w:val="006248A9"/>
    <w:rsid w:val="0062646B"/>
    <w:rsid w:val="00630AC8"/>
    <w:rsid w:val="00633293"/>
    <w:rsid w:val="006375BF"/>
    <w:rsid w:val="00641500"/>
    <w:rsid w:val="00641A38"/>
    <w:rsid w:val="0064334C"/>
    <w:rsid w:val="006454F2"/>
    <w:rsid w:val="00646842"/>
    <w:rsid w:val="00654937"/>
    <w:rsid w:val="00655ADD"/>
    <w:rsid w:val="00671B05"/>
    <w:rsid w:val="00672994"/>
    <w:rsid w:val="006769A8"/>
    <w:rsid w:val="00690A73"/>
    <w:rsid w:val="00694B3D"/>
    <w:rsid w:val="00697802"/>
    <w:rsid w:val="006A0078"/>
    <w:rsid w:val="006A0D0F"/>
    <w:rsid w:val="006A78ED"/>
    <w:rsid w:val="006B1A78"/>
    <w:rsid w:val="006C0649"/>
    <w:rsid w:val="006C6735"/>
    <w:rsid w:val="006D0BA4"/>
    <w:rsid w:val="006D1427"/>
    <w:rsid w:val="006D4234"/>
    <w:rsid w:val="006E5ED7"/>
    <w:rsid w:val="00700A20"/>
    <w:rsid w:val="00701BE0"/>
    <w:rsid w:val="00704775"/>
    <w:rsid w:val="007159BA"/>
    <w:rsid w:val="00715A71"/>
    <w:rsid w:val="007165CF"/>
    <w:rsid w:val="00717B2F"/>
    <w:rsid w:val="007345C6"/>
    <w:rsid w:val="007358AB"/>
    <w:rsid w:val="00737729"/>
    <w:rsid w:val="007377BB"/>
    <w:rsid w:val="00747D41"/>
    <w:rsid w:val="00750E46"/>
    <w:rsid w:val="007522DF"/>
    <w:rsid w:val="00760665"/>
    <w:rsid w:val="00763D35"/>
    <w:rsid w:val="00763EDF"/>
    <w:rsid w:val="007736F0"/>
    <w:rsid w:val="0077502D"/>
    <w:rsid w:val="00777C42"/>
    <w:rsid w:val="0078192F"/>
    <w:rsid w:val="00791E00"/>
    <w:rsid w:val="007B0A91"/>
    <w:rsid w:val="007B4B2D"/>
    <w:rsid w:val="007B5FA0"/>
    <w:rsid w:val="007C40C0"/>
    <w:rsid w:val="007D0252"/>
    <w:rsid w:val="007D5F7E"/>
    <w:rsid w:val="007D74FB"/>
    <w:rsid w:val="007E377D"/>
    <w:rsid w:val="007E65F9"/>
    <w:rsid w:val="007E74E1"/>
    <w:rsid w:val="007F52C9"/>
    <w:rsid w:val="007F69B7"/>
    <w:rsid w:val="008014A6"/>
    <w:rsid w:val="008179FE"/>
    <w:rsid w:val="00832D5F"/>
    <w:rsid w:val="008529D9"/>
    <w:rsid w:val="00857020"/>
    <w:rsid w:val="00863C03"/>
    <w:rsid w:val="008663D3"/>
    <w:rsid w:val="00866C4A"/>
    <w:rsid w:val="0087136C"/>
    <w:rsid w:val="00875959"/>
    <w:rsid w:val="00875DB9"/>
    <w:rsid w:val="00885F65"/>
    <w:rsid w:val="008A4236"/>
    <w:rsid w:val="008B2A35"/>
    <w:rsid w:val="008B3F83"/>
    <w:rsid w:val="008B7BD6"/>
    <w:rsid w:val="008C043E"/>
    <w:rsid w:val="008C34FA"/>
    <w:rsid w:val="008D2DF4"/>
    <w:rsid w:val="008D3BF9"/>
    <w:rsid w:val="008D77F6"/>
    <w:rsid w:val="008E01DD"/>
    <w:rsid w:val="008E6120"/>
    <w:rsid w:val="008E61CA"/>
    <w:rsid w:val="008F055A"/>
    <w:rsid w:val="008F6F98"/>
    <w:rsid w:val="00901406"/>
    <w:rsid w:val="00903EDA"/>
    <w:rsid w:val="0090586C"/>
    <w:rsid w:val="009127A8"/>
    <w:rsid w:val="0092079B"/>
    <w:rsid w:val="00933381"/>
    <w:rsid w:val="00941DAF"/>
    <w:rsid w:val="00955D20"/>
    <w:rsid w:val="00964BF3"/>
    <w:rsid w:val="00971D51"/>
    <w:rsid w:val="00977FB3"/>
    <w:rsid w:val="00984AC2"/>
    <w:rsid w:val="00986D1E"/>
    <w:rsid w:val="00990D62"/>
    <w:rsid w:val="00994DE6"/>
    <w:rsid w:val="00995B8F"/>
    <w:rsid w:val="009A0FF9"/>
    <w:rsid w:val="009A16F0"/>
    <w:rsid w:val="009A1CE3"/>
    <w:rsid w:val="009A5BF7"/>
    <w:rsid w:val="009A638B"/>
    <w:rsid w:val="009B1C41"/>
    <w:rsid w:val="009B41B7"/>
    <w:rsid w:val="009B742E"/>
    <w:rsid w:val="009C3B53"/>
    <w:rsid w:val="009C5564"/>
    <w:rsid w:val="009C7FF7"/>
    <w:rsid w:val="009D0809"/>
    <w:rsid w:val="009D26E4"/>
    <w:rsid w:val="009D28D8"/>
    <w:rsid w:val="009D61D0"/>
    <w:rsid w:val="009E037F"/>
    <w:rsid w:val="009E4389"/>
    <w:rsid w:val="009F15DD"/>
    <w:rsid w:val="009F66EE"/>
    <w:rsid w:val="00A0236C"/>
    <w:rsid w:val="00A051FA"/>
    <w:rsid w:val="00A057D0"/>
    <w:rsid w:val="00A06A94"/>
    <w:rsid w:val="00A16191"/>
    <w:rsid w:val="00A200AD"/>
    <w:rsid w:val="00A22F29"/>
    <w:rsid w:val="00A32667"/>
    <w:rsid w:val="00A4672E"/>
    <w:rsid w:val="00A51656"/>
    <w:rsid w:val="00A5181F"/>
    <w:rsid w:val="00A523C6"/>
    <w:rsid w:val="00A56EC8"/>
    <w:rsid w:val="00A6023A"/>
    <w:rsid w:val="00A67C13"/>
    <w:rsid w:val="00A82BAD"/>
    <w:rsid w:val="00A842BD"/>
    <w:rsid w:val="00A85932"/>
    <w:rsid w:val="00A87F7D"/>
    <w:rsid w:val="00A91835"/>
    <w:rsid w:val="00A94F82"/>
    <w:rsid w:val="00AA3AAA"/>
    <w:rsid w:val="00AA687E"/>
    <w:rsid w:val="00AB2BCC"/>
    <w:rsid w:val="00AD18F6"/>
    <w:rsid w:val="00AD563C"/>
    <w:rsid w:val="00AE38E1"/>
    <w:rsid w:val="00AF2911"/>
    <w:rsid w:val="00B1610D"/>
    <w:rsid w:val="00B256B5"/>
    <w:rsid w:val="00B30546"/>
    <w:rsid w:val="00B3424D"/>
    <w:rsid w:val="00B345A6"/>
    <w:rsid w:val="00B35313"/>
    <w:rsid w:val="00B35705"/>
    <w:rsid w:val="00B361C6"/>
    <w:rsid w:val="00B401E5"/>
    <w:rsid w:val="00B44CA1"/>
    <w:rsid w:val="00B4766E"/>
    <w:rsid w:val="00B53BC0"/>
    <w:rsid w:val="00B62668"/>
    <w:rsid w:val="00B67C7D"/>
    <w:rsid w:val="00B748C2"/>
    <w:rsid w:val="00B81C46"/>
    <w:rsid w:val="00B83660"/>
    <w:rsid w:val="00B9091A"/>
    <w:rsid w:val="00B94700"/>
    <w:rsid w:val="00BA2D4A"/>
    <w:rsid w:val="00BB5128"/>
    <w:rsid w:val="00BC1F22"/>
    <w:rsid w:val="00BC262D"/>
    <w:rsid w:val="00BC2C0D"/>
    <w:rsid w:val="00BD54AE"/>
    <w:rsid w:val="00BD5A6A"/>
    <w:rsid w:val="00BD618F"/>
    <w:rsid w:val="00BD75CB"/>
    <w:rsid w:val="00BE178D"/>
    <w:rsid w:val="00BE2897"/>
    <w:rsid w:val="00BE3FD2"/>
    <w:rsid w:val="00BE6D2D"/>
    <w:rsid w:val="00C139B8"/>
    <w:rsid w:val="00C234FF"/>
    <w:rsid w:val="00C26BDF"/>
    <w:rsid w:val="00C279F1"/>
    <w:rsid w:val="00C33472"/>
    <w:rsid w:val="00C33F4D"/>
    <w:rsid w:val="00C41ED5"/>
    <w:rsid w:val="00C458D7"/>
    <w:rsid w:val="00C47429"/>
    <w:rsid w:val="00C52155"/>
    <w:rsid w:val="00C57404"/>
    <w:rsid w:val="00C638B2"/>
    <w:rsid w:val="00C642FD"/>
    <w:rsid w:val="00C6523C"/>
    <w:rsid w:val="00C66094"/>
    <w:rsid w:val="00C70205"/>
    <w:rsid w:val="00C720E8"/>
    <w:rsid w:val="00C75A21"/>
    <w:rsid w:val="00C76B56"/>
    <w:rsid w:val="00C867DF"/>
    <w:rsid w:val="00C9507D"/>
    <w:rsid w:val="00CB73BB"/>
    <w:rsid w:val="00CC7B91"/>
    <w:rsid w:val="00CD65A4"/>
    <w:rsid w:val="00CE0302"/>
    <w:rsid w:val="00CF3C6C"/>
    <w:rsid w:val="00CF638F"/>
    <w:rsid w:val="00D067B0"/>
    <w:rsid w:val="00D121D8"/>
    <w:rsid w:val="00D129A9"/>
    <w:rsid w:val="00D31EE1"/>
    <w:rsid w:val="00D343B7"/>
    <w:rsid w:val="00D34B56"/>
    <w:rsid w:val="00D41FC9"/>
    <w:rsid w:val="00D44977"/>
    <w:rsid w:val="00D46B16"/>
    <w:rsid w:val="00D47506"/>
    <w:rsid w:val="00D478BE"/>
    <w:rsid w:val="00D52F48"/>
    <w:rsid w:val="00D53DA8"/>
    <w:rsid w:val="00D65043"/>
    <w:rsid w:val="00D75892"/>
    <w:rsid w:val="00D7777F"/>
    <w:rsid w:val="00D83F39"/>
    <w:rsid w:val="00D9533E"/>
    <w:rsid w:val="00DA7082"/>
    <w:rsid w:val="00DB021A"/>
    <w:rsid w:val="00DC1F80"/>
    <w:rsid w:val="00DC2EA9"/>
    <w:rsid w:val="00DD5268"/>
    <w:rsid w:val="00DD7D9F"/>
    <w:rsid w:val="00DE0090"/>
    <w:rsid w:val="00DE222A"/>
    <w:rsid w:val="00DE736E"/>
    <w:rsid w:val="00E02152"/>
    <w:rsid w:val="00E07AD8"/>
    <w:rsid w:val="00E16183"/>
    <w:rsid w:val="00E25702"/>
    <w:rsid w:val="00E34BD0"/>
    <w:rsid w:val="00E36719"/>
    <w:rsid w:val="00E36CC0"/>
    <w:rsid w:val="00E37FED"/>
    <w:rsid w:val="00E420EF"/>
    <w:rsid w:val="00E46850"/>
    <w:rsid w:val="00E479A0"/>
    <w:rsid w:val="00E50AEC"/>
    <w:rsid w:val="00E51B0C"/>
    <w:rsid w:val="00E51BB5"/>
    <w:rsid w:val="00E51BF1"/>
    <w:rsid w:val="00E546D1"/>
    <w:rsid w:val="00E61BBF"/>
    <w:rsid w:val="00E62B5B"/>
    <w:rsid w:val="00E65775"/>
    <w:rsid w:val="00E70B38"/>
    <w:rsid w:val="00E73E3C"/>
    <w:rsid w:val="00E8447F"/>
    <w:rsid w:val="00E861D5"/>
    <w:rsid w:val="00E90E00"/>
    <w:rsid w:val="00E9205C"/>
    <w:rsid w:val="00E93900"/>
    <w:rsid w:val="00E9480D"/>
    <w:rsid w:val="00EA1071"/>
    <w:rsid w:val="00EC38AD"/>
    <w:rsid w:val="00EC4E5A"/>
    <w:rsid w:val="00EC68D1"/>
    <w:rsid w:val="00ED44FD"/>
    <w:rsid w:val="00EE1BBE"/>
    <w:rsid w:val="00EE32CC"/>
    <w:rsid w:val="00EF1EB3"/>
    <w:rsid w:val="00EF33E9"/>
    <w:rsid w:val="00F113CD"/>
    <w:rsid w:val="00F16BB3"/>
    <w:rsid w:val="00F21CCB"/>
    <w:rsid w:val="00F245EE"/>
    <w:rsid w:val="00F37124"/>
    <w:rsid w:val="00F37418"/>
    <w:rsid w:val="00F37A5A"/>
    <w:rsid w:val="00F40CAE"/>
    <w:rsid w:val="00F453BF"/>
    <w:rsid w:val="00F56E3B"/>
    <w:rsid w:val="00F61FD1"/>
    <w:rsid w:val="00F8373B"/>
    <w:rsid w:val="00F94A67"/>
    <w:rsid w:val="00FC4045"/>
    <w:rsid w:val="00FC7336"/>
    <w:rsid w:val="00FD242C"/>
    <w:rsid w:val="00FD3952"/>
    <w:rsid w:val="00FD67E0"/>
    <w:rsid w:val="00FD70F6"/>
    <w:rsid w:val="00FE5745"/>
    <w:rsid w:val="00FE6FE8"/>
    <w:rsid w:val="00FF1DC1"/>
    <w:rsid w:val="00FF5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9199"/>
  <w15:chartTrackingRefBased/>
  <w15:docId w15:val="{09A88C61-8DCA-4F1A-B60A-25B4DF99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BAD"/>
  </w:style>
  <w:style w:type="paragraph" w:styleId="Titolo1">
    <w:name w:val="heading 1"/>
    <w:basedOn w:val="Normale"/>
    <w:next w:val="Normale"/>
    <w:link w:val="Titolo1Carattere"/>
    <w:uiPriority w:val="9"/>
    <w:qFormat/>
    <w:rsid w:val="006C6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6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673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673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673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67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67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67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67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673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673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673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673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673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67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67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67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67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6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67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673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67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67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6735"/>
    <w:rPr>
      <w:i/>
      <w:iCs/>
      <w:color w:val="404040" w:themeColor="text1" w:themeTint="BF"/>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qFormat/>
    <w:rsid w:val="006C6735"/>
    <w:pPr>
      <w:ind w:left="720"/>
      <w:contextualSpacing/>
    </w:pPr>
  </w:style>
  <w:style w:type="character" w:styleId="Enfasiintensa">
    <w:name w:val="Intense Emphasis"/>
    <w:basedOn w:val="Carpredefinitoparagrafo"/>
    <w:uiPriority w:val="21"/>
    <w:qFormat/>
    <w:rsid w:val="006C6735"/>
    <w:rPr>
      <w:i/>
      <w:iCs/>
      <w:color w:val="0F4761" w:themeColor="accent1" w:themeShade="BF"/>
    </w:rPr>
  </w:style>
  <w:style w:type="paragraph" w:styleId="Citazioneintensa">
    <w:name w:val="Intense Quote"/>
    <w:basedOn w:val="Normale"/>
    <w:next w:val="Normale"/>
    <w:link w:val="CitazioneintensaCarattere"/>
    <w:uiPriority w:val="30"/>
    <w:qFormat/>
    <w:rsid w:val="006C6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6735"/>
    <w:rPr>
      <w:i/>
      <w:iCs/>
      <w:color w:val="0F4761" w:themeColor="accent1" w:themeShade="BF"/>
    </w:rPr>
  </w:style>
  <w:style w:type="character" w:styleId="Riferimentointenso">
    <w:name w:val="Intense Reference"/>
    <w:basedOn w:val="Carpredefinitoparagrafo"/>
    <w:uiPriority w:val="32"/>
    <w:qFormat/>
    <w:rsid w:val="006C6735"/>
    <w:rPr>
      <w:b/>
      <w:bCs/>
      <w:smallCaps/>
      <w:color w:val="0F4761" w:themeColor="accent1" w:themeShade="BF"/>
      <w:spacing w:val="5"/>
    </w:rPr>
  </w:style>
  <w:style w:type="paragraph" w:styleId="Pidipagina">
    <w:name w:val="footer"/>
    <w:basedOn w:val="Normale"/>
    <w:link w:val="PidipaginaCarattere"/>
    <w:uiPriority w:val="99"/>
    <w:unhideWhenUsed/>
    <w:rsid w:val="006C67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735"/>
  </w:style>
  <w:style w:type="paragraph" w:customStyle="1" w:styleId="Default">
    <w:name w:val="Default"/>
    <w:rsid w:val="00671B05"/>
    <w:pPr>
      <w:autoSpaceDE w:val="0"/>
      <w:autoSpaceDN w:val="0"/>
      <w:adjustRightInd w:val="0"/>
      <w:spacing w:after="0" w:line="240" w:lineRule="auto"/>
    </w:pPr>
    <w:rPr>
      <w:rFonts w:ascii="Arial" w:hAnsi="Arial" w:cs="Arial"/>
      <w:color w:val="000000"/>
      <w:kern w:val="0"/>
      <w:sz w:val="24"/>
      <w:szCs w:val="24"/>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rsid w:val="000D4CB4"/>
  </w:style>
  <w:style w:type="paragraph" w:styleId="Corpotesto">
    <w:name w:val="Body Text"/>
    <w:basedOn w:val="Normale"/>
    <w:link w:val="CorpotestoCarattere"/>
    <w:uiPriority w:val="1"/>
    <w:qFormat/>
    <w:rsid w:val="00427EF4"/>
    <w:pPr>
      <w:widowControl w:val="0"/>
      <w:autoSpaceDE w:val="0"/>
      <w:autoSpaceDN w:val="0"/>
      <w:spacing w:after="0" w:line="240" w:lineRule="auto"/>
      <w:jc w:val="both"/>
    </w:pPr>
    <w:rPr>
      <w:rFonts w:ascii="Arial MT" w:eastAsia="Arial MT" w:hAnsi="Arial MT" w:cs="Arial MT"/>
      <w:kern w:val="0"/>
      <w:sz w:val="20"/>
      <w:szCs w:val="20"/>
    </w:rPr>
  </w:style>
  <w:style w:type="character" w:customStyle="1" w:styleId="CorpotestoCarattere">
    <w:name w:val="Corpo testo Carattere"/>
    <w:basedOn w:val="Carpredefinitoparagrafo"/>
    <w:link w:val="Corpotesto"/>
    <w:uiPriority w:val="1"/>
    <w:rsid w:val="00427EF4"/>
    <w:rPr>
      <w:rFonts w:ascii="Arial MT" w:eastAsia="Arial MT" w:hAnsi="Arial MT" w:cs="Arial MT"/>
      <w:kern w:val="0"/>
      <w:sz w:val="20"/>
      <w:szCs w:val="20"/>
    </w:rPr>
  </w:style>
  <w:style w:type="paragraph" w:styleId="Intestazione">
    <w:name w:val="header"/>
    <w:basedOn w:val="Normale"/>
    <w:link w:val="IntestazioneCarattere"/>
    <w:uiPriority w:val="99"/>
    <w:unhideWhenUsed/>
    <w:rsid w:val="004B05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05FC"/>
  </w:style>
  <w:style w:type="character" w:styleId="Collegamentoipertestuale">
    <w:name w:val="Hyperlink"/>
    <w:basedOn w:val="Carpredefinitoparagrafo"/>
    <w:uiPriority w:val="99"/>
    <w:unhideWhenUsed/>
    <w:rsid w:val="00672994"/>
    <w:rPr>
      <w:color w:val="467886" w:themeColor="hyperlink"/>
      <w:u w:val="single"/>
    </w:rPr>
  </w:style>
  <w:style w:type="character" w:styleId="Menzionenonrisolta">
    <w:name w:val="Unresolved Mention"/>
    <w:basedOn w:val="Carpredefinitoparagrafo"/>
    <w:uiPriority w:val="99"/>
    <w:semiHidden/>
    <w:unhideWhenUsed/>
    <w:rsid w:val="0067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4143">
      <w:bodyDiv w:val="1"/>
      <w:marLeft w:val="0"/>
      <w:marRight w:val="0"/>
      <w:marTop w:val="0"/>
      <w:marBottom w:val="0"/>
      <w:divBdr>
        <w:top w:val="none" w:sz="0" w:space="0" w:color="auto"/>
        <w:left w:val="none" w:sz="0" w:space="0" w:color="auto"/>
        <w:bottom w:val="none" w:sz="0" w:space="0" w:color="auto"/>
        <w:right w:val="none" w:sz="0" w:space="0" w:color="auto"/>
      </w:divBdr>
    </w:div>
    <w:div w:id="952712109">
      <w:bodyDiv w:val="1"/>
      <w:marLeft w:val="0"/>
      <w:marRight w:val="0"/>
      <w:marTop w:val="0"/>
      <w:marBottom w:val="0"/>
      <w:divBdr>
        <w:top w:val="none" w:sz="0" w:space="0" w:color="auto"/>
        <w:left w:val="none" w:sz="0" w:space="0" w:color="auto"/>
        <w:bottom w:val="none" w:sz="0" w:space="0" w:color="auto"/>
        <w:right w:val="none" w:sz="0" w:space="0" w:color="auto"/>
      </w:divBdr>
    </w:div>
    <w:div w:id="1237743169">
      <w:bodyDiv w:val="1"/>
      <w:marLeft w:val="0"/>
      <w:marRight w:val="0"/>
      <w:marTop w:val="0"/>
      <w:marBottom w:val="0"/>
      <w:divBdr>
        <w:top w:val="none" w:sz="0" w:space="0" w:color="auto"/>
        <w:left w:val="none" w:sz="0" w:space="0" w:color="auto"/>
        <w:bottom w:val="none" w:sz="0" w:space="0" w:color="auto"/>
        <w:right w:val="none" w:sz="0" w:space="0" w:color="auto"/>
      </w:divBdr>
    </w:div>
    <w:div w:id="15073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peiisites.org/trasparenza/real-polverificio-borbonico-avviso-esplorativo-ex-art-77-comma-1-del-d-lgs-36-2023/" TargetMode="External" /><Relationship Id="rId3" Type="http://schemas.openxmlformats.org/officeDocument/2006/relationships/settings" Target="settings.xml" /><Relationship Id="rId7" Type="http://schemas.openxmlformats.org/officeDocument/2006/relationships/hyperlink" Target="http://www.pompeiisites.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jpeg" /><Relationship Id="rId1" Type="http://schemas.openxmlformats.org/officeDocument/2006/relationships/image" Target="media/image1.pn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CAPUTI CLAUDIA</dc:creator>
  <cp:keywords/>
  <dc:description/>
  <cp:lastModifiedBy>BALZANO MASSIMILIANO</cp:lastModifiedBy>
  <cp:revision>2</cp:revision>
  <cp:lastPrinted>2025-01-15T12:14:00Z</cp:lastPrinted>
  <dcterms:created xsi:type="dcterms:W3CDTF">2025-01-27T10:24:00Z</dcterms:created>
  <dcterms:modified xsi:type="dcterms:W3CDTF">2025-01-27T10:24:00Z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4960f3-9742-49c5-8107-5d9e4c35dc14_Enabled">
    <vt:lpwstr>true</vt:lpwstr>
  </property>
  <property fmtid="{D5CDD505-2E9C-101B-9397-08002B2CF9AE}" pid="3" name="MSIP_Label_b14960f3-9742-49c5-8107-5d9e4c35dc14_SetDate">
    <vt:lpwstr>2024-12-12T13:03:53Z</vt:lpwstr>
  </property>
  <property fmtid="{D5CDD505-2E9C-101B-9397-08002B2CF9AE}" pid="4" name="MSIP_Label_b14960f3-9742-49c5-8107-5d9e4c35dc14_Method">
    <vt:lpwstr>Standard</vt:lpwstr>
  </property>
  <property fmtid="{D5CDD505-2E9C-101B-9397-08002B2CF9AE}" pid="5" name="MSIP_Label_b14960f3-9742-49c5-8107-5d9e4c35dc14_Name">
    <vt:lpwstr>Uso interno - Non cifrato</vt:lpwstr>
  </property>
  <property fmtid="{D5CDD505-2E9C-101B-9397-08002B2CF9AE}" pid="6" name="MSIP_Label_b14960f3-9742-49c5-8107-5d9e4c35dc14_SiteId">
    <vt:lpwstr>5c13bf6f-11aa-44a8-aac0-fc5ed659c30a</vt:lpwstr>
  </property>
  <property fmtid="{D5CDD505-2E9C-101B-9397-08002B2CF9AE}" pid="7" name="MSIP_Label_b14960f3-9742-49c5-8107-5d9e4c35dc14_ActionId">
    <vt:lpwstr>ce3e46b7-1e85-4782-a4af-1ccf0cb51b42</vt:lpwstr>
  </property>
  <property fmtid="{D5CDD505-2E9C-101B-9397-08002B2CF9AE}" pid="8" name="MSIP_Label_b14960f3-9742-49c5-8107-5d9e4c35dc14_ContentBits">
    <vt:lpwstr>3</vt:lpwstr>
  </property>
</Properties>
</file>